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115C7" w14:textId="37840927" w:rsidR="00F713B9" w:rsidRPr="00C1417C" w:rsidRDefault="00F713B9" w:rsidP="00F713B9">
      <w:pPr>
        <w:pStyle w:val="Title"/>
        <w:rPr>
          <w:rFonts w:ascii="Calibri" w:hAnsi="Calibri" w:cs="Arial"/>
          <w:sz w:val="24"/>
          <w:szCs w:val="24"/>
        </w:rPr>
      </w:pPr>
      <w:r>
        <w:rPr>
          <w:rFonts w:ascii="Calibri" w:hAnsi="Calibri" w:cs="Calibri"/>
          <w:noProof/>
          <w:sz w:val="22"/>
          <w:szCs w:val="22"/>
          <w:u w:val="single"/>
          <w:lang w:eastAsia="en-GB"/>
        </w:rPr>
        <w:drawing>
          <wp:anchor distT="0" distB="0" distL="114300" distR="114300" simplePos="0" relativeHeight="251657216" behindDoc="1" locked="0" layoutInCell="1" allowOverlap="1" wp14:anchorId="56FF8976" wp14:editId="396F99E0">
            <wp:simplePos x="0" y="0"/>
            <wp:positionH relativeFrom="column">
              <wp:posOffset>5267960</wp:posOffset>
            </wp:positionH>
            <wp:positionV relativeFrom="paragraph">
              <wp:posOffset>-245745</wp:posOffset>
            </wp:positionV>
            <wp:extent cx="825500" cy="828040"/>
            <wp:effectExtent l="0" t="0" r="0" b="0"/>
            <wp:wrapTight wrapText="bothSides">
              <wp:wrapPolygon edited="0">
                <wp:start x="0" y="0"/>
                <wp:lineTo x="0" y="20871"/>
                <wp:lineTo x="20935" y="20871"/>
                <wp:lineTo x="2093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417C">
        <w:rPr>
          <w:rFonts w:ascii="Calibri" w:hAnsi="Calibri" w:cs="Arial"/>
          <w:sz w:val="24"/>
          <w:szCs w:val="24"/>
        </w:rPr>
        <w:t>THE SHAKESPEARE HOSPICE</w:t>
      </w:r>
    </w:p>
    <w:p w14:paraId="2680D4D3" w14:textId="77777777" w:rsidR="00F713B9" w:rsidRDefault="00F713B9" w:rsidP="00F713B9">
      <w:pPr>
        <w:pStyle w:val="Subtitle"/>
        <w:rPr>
          <w:rFonts w:ascii="Calibri" w:hAnsi="Calibri" w:cs="Arial"/>
          <w:sz w:val="24"/>
          <w:szCs w:val="24"/>
        </w:rPr>
      </w:pPr>
    </w:p>
    <w:p w14:paraId="7FE67944" w14:textId="766547CF" w:rsidR="00F713B9" w:rsidRPr="00C1417C" w:rsidRDefault="00F713B9" w:rsidP="00F713B9">
      <w:pPr>
        <w:pStyle w:val="Subtitle"/>
        <w:rPr>
          <w:rFonts w:ascii="Calibri" w:hAnsi="Calibri" w:cs="Arial"/>
          <w:sz w:val="24"/>
          <w:szCs w:val="24"/>
        </w:rPr>
      </w:pPr>
      <w:r w:rsidRPr="00C1417C">
        <w:rPr>
          <w:rFonts w:ascii="Calibri" w:hAnsi="Calibri" w:cs="Arial"/>
          <w:sz w:val="24"/>
          <w:szCs w:val="24"/>
        </w:rPr>
        <w:t>JOB DESCRIPTION</w:t>
      </w:r>
    </w:p>
    <w:p w14:paraId="5ABC89CC" w14:textId="74C7FEBA" w:rsidR="009A7CE5" w:rsidRPr="008C733B" w:rsidRDefault="009A7CE5" w:rsidP="00F713B9">
      <w:pPr>
        <w:pStyle w:val="Subtitle"/>
        <w:jc w:val="both"/>
        <w:rPr>
          <w:rFonts w:ascii="Calibri" w:hAnsi="Calibri" w:cs="Calibri"/>
          <w:sz w:val="22"/>
          <w:szCs w:val="22"/>
          <w:u w:val="single"/>
        </w:rPr>
      </w:pPr>
    </w:p>
    <w:p w14:paraId="27CC9A73" w14:textId="544DC3F1" w:rsidR="009A7CE5" w:rsidRPr="00791D1E" w:rsidRDefault="004C4764" w:rsidP="00F713B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Post</w:t>
      </w:r>
      <w:r w:rsidR="009A7CE5" w:rsidRPr="00791D1E">
        <w:rPr>
          <w:rFonts w:cstheme="minorHAnsi"/>
          <w:b/>
          <w:sz w:val="24"/>
          <w:szCs w:val="24"/>
        </w:rPr>
        <w:t>:</w:t>
      </w:r>
      <w:r w:rsidR="009A7CE5" w:rsidRPr="00791D1E">
        <w:rPr>
          <w:rFonts w:cstheme="minorHAnsi"/>
          <w:sz w:val="24"/>
          <w:szCs w:val="24"/>
        </w:rPr>
        <w:t xml:space="preserve"> </w:t>
      </w:r>
      <w:r w:rsidR="009A7CE5" w:rsidRPr="00791D1E">
        <w:rPr>
          <w:rFonts w:cstheme="minorHAnsi"/>
          <w:sz w:val="24"/>
          <w:szCs w:val="24"/>
        </w:rPr>
        <w:tab/>
      </w:r>
      <w:r w:rsidR="009A7CE5" w:rsidRPr="00791D1E">
        <w:rPr>
          <w:rFonts w:cstheme="minorHAnsi"/>
          <w:sz w:val="24"/>
          <w:szCs w:val="24"/>
        </w:rPr>
        <w:tab/>
      </w:r>
      <w:r w:rsidR="009A7CE5" w:rsidRPr="00791D1E">
        <w:rPr>
          <w:rFonts w:cstheme="minorHAnsi"/>
          <w:sz w:val="24"/>
          <w:szCs w:val="24"/>
        </w:rPr>
        <w:tab/>
      </w:r>
      <w:r w:rsidR="009A7CE5" w:rsidRPr="00791D1E">
        <w:rPr>
          <w:rFonts w:cstheme="minorHAnsi"/>
          <w:sz w:val="24"/>
          <w:szCs w:val="24"/>
        </w:rPr>
        <w:tab/>
      </w:r>
      <w:r w:rsidR="003F4540" w:rsidRPr="00791D1E">
        <w:rPr>
          <w:rFonts w:cstheme="minorHAnsi"/>
          <w:sz w:val="24"/>
          <w:szCs w:val="24"/>
        </w:rPr>
        <w:t>Digital and Campaigns</w:t>
      </w:r>
      <w:r w:rsidR="00421126">
        <w:rPr>
          <w:rFonts w:cstheme="minorHAnsi"/>
          <w:sz w:val="24"/>
          <w:szCs w:val="24"/>
        </w:rPr>
        <w:t xml:space="preserve"> Income</w:t>
      </w:r>
      <w:r w:rsidR="003F4540" w:rsidRPr="00791D1E">
        <w:rPr>
          <w:rFonts w:cstheme="minorHAnsi"/>
          <w:sz w:val="24"/>
          <w:szCs w:val="24"/>
        </w:rPr>
        <w:t xml:space="preserve"> Lead</w:t>
      </w:r>
    </w:p>
    <w:p w14:paraId="28C2FDBA" w14:textId="77777777" w:rsidR="003F4540" w:rsidRPr="00791D1E" w:rsidRDefault="009A7CE5" w:rsidP="00F713B9">
      <w:pPr>
        <w:jc w:val="both"/>
        <w:rPr>
          <w:rFonts w:cstheme="minorHAnsi"/>
          <w:sz w:val="24"/>
          <w:szCs w:val="24"/>
        </w:rPr>
      </w:pPr>
      <w:r w:rsidRPr="00791D1E">
        <w:rPr>
          <w:rFonts w:cstheme="minorHAnsi"/>
          <w:b/>
          <w:sz w:val="24"/>
          <w:szCs w:val="24"/>
        </w:rPr>
        <w:t xml:space="preserve">Reporting to: </w:t>
      </w:r>
      <w:r w:rsidRPr="00791D1E">
        <w:rPr>
          <w:rFonts w:cstheme="minorHAnsi"/>
          <w:b/>
          <w:sz w:val="24"/>
          <w:szCs w:val="24"/>
        </w:rPr>
        <w:tab/>
      </w:r>
      <w:r w:rsidRPr="00791D1E">
        <w:rPr>
          <w:rFonts w:cstheme="minorHAnsi"/>
          <w:b/>
          <w:sz w:val="24"/>
          <w:szCs w:val="24"/>
        </w:rPr>
        <w:tab/>
      </w:r>
      <w:r w:rsidRPr="00791D1E">
        <w:rPr>
          <w:rFonts w:cstheme="minorHAnsi"/>
          <w:b/>
          <w:sz w:val="24"/>
          <w:szCs w:val="24"/>
        </w:rPr>
        <w:tab/>
      </w:r>
      <w:r w:rsidR="003F4540" w:rsidRPr="00791D1E">
        <w:rPr>
          <w:rFonts w:cstheme="minorHAnsi"/>
          <w:sz w:val="24"/>
          <w:szCs w:val="24"/>
        </w:rPr>
        <w:t>Senior Fundraising Manager</w:t>
      </w:r>
    </w:p>
    <w:p w14:paraId="570AF277" w14:textId="1A5A7509" w:rsidR="009A7CE5" w:rsidRPr="00791D1E" w:rsidRDefault="003F4540" w:rsidP="0009242D">
      <w:pPr>
        <w:jc w:val="both"/>
        <w:rPr>
          <w:rFonts w:cstheme="minorHAnsi"/>
          <w:sz w:val="24"/>
          <w:szCs w:val="24"/>
        </w:rPr>
      </w:pPr>
      <w:r w:rsidRPr="0009242D">
        <w:rPr>
          <w:rFonts w:cstheme="minorHAnsi"/>
          <w:b/>
          <w:bCs/>
          <w:sz w:val="24"/>
          <w:szCs w:val="24"/>
        </w:rPr>
        <w:t>Accountable to:</w:t>
      </w:r>
      <w:r w:rsidRPr="00791D1E">
        <w:rPr>
          <w:rFonts w:cstheme="minorHAnsi"/>
          <w:sz w:val="24"/>
          <w:szCs w:val="24"/>
        </w:rPr>
        <w:tab/>
      </w:r>
      <w:r w:rsidRPr="00791D1E">
        <w:rPr>
          <w:rFonts w:cstheme="minorHAnsi"/>
          <w:sz w:val="24"/>
          <w:szCs w:val="24"/>
        </w:rPr>
        <w:tab/>
        <w:t>Head of Income Generation</w:t>
      </w:r>
      <w:r w:rsidR="009A7CE5" w:rsidRPr="00791D1E">
        <w:rPr>
          <w:rFonts w:cstheme="minorHAnsi"/>
          <w:b/>
          <w:sz w:val="24"/>
          <w:szCs w:val="24"/>
        </w:rPr>
        <w:t xml:space="preserve"> </w:t>
      </w:r>
    </w:p>
    <w:p w14:paraId="7F233125" w14:textId="68C4B1B0" w:rsidR="009A7CE5" w:rsidRPr="00791D1E" w:rsidRDefault="009A7CE5" w:rsidP="00F713B9">
      <w:pPr>
        <w:jc w:val="both"/>
        <w:rPr>
          <w:rFonts w:cstheme="minorHAnsi"/>
          <w:sz w:val="24"/>
          <w:szCs w:val="24"/>
        </w:rPr>
      </w:pPr>
      <w:r w:rsidRPr="00791D1E">
        <w:rPr>
          <w:rFonts w:cstheme="minorHAnsi"/>
          <w:b/>
          <w:sz w:val="24"/>
          <w:szCs w:val="24"/>
        </w:rPr>
        <w:t>Hours:</w:t>
      </w:r>
      <w:r w:rsidRPr="00791D1E">
        <w:rPr>
          <w:rFonts w:cstheme="minorHAnsi"/>
          <w:sz w:val="24"/>
          <w:szCs w:val="24"/>
        </w:rPr>
        <w:tab/>
      </w:r>
      <w:r w:rsidRPr="00791D1E">
        <w:rPr>
          <w:rFonts w:cstheme="minorHAnsi"/>
          <w:sz w:val="24"/>
          <w:szCs w:val="24"/>
        </w:rPr>
        <w:tab/>
      </w:r>
      <w:r w:rsidRPr="00791D1E">
        <w:rPr>
          <w:rFonts w:cstheme="minorHAnsi"/>
          <w:sz w:val="24"/>
          <w:szCs w:val="24"/>
        </w:rPr>
        <w:tab/>
      </w:r>
      <w:r w:rsidRPr="00791D1E">
        <w:rPr>
          <w:rFonts w:cstheme="minorHAnsi"/>
          <w:sz w:val="24"/>
          <w:szCs w:val="24"/>
        </w:rPr>
        <w:tab/>
        <w:t>37.5 hrs pw</w:t>
      </w:r>
    </w:p>
    <w:p w14:paraId="0BC8E0EB" w14:textId="77777777" w:rsidR="009A7CE5" w:rsidRPr="00791D1E" w:rsidRDefault="009A7CE5" w:rsidP="00F713B9">
      <w:pPr>
        <w:shd w:val="clear" w:color="auto" w:fill="FFFFFF"/>
        <w:spacing w:before="100" w:beforeAutospacing="1" w:after="100" w:afterAutospacing="1" w:line="300" w:lineRule="atLeast"/>
        <w:jc w:val="both"/>
        <w:rPr>
          <w:rFonts w:cstheme="minorHAnsi"/>
          <w:b/>
          <w:color w:val="5F497A"/>
          <w:sz w:val="24"/>
          <w:szCs w:val="24"/>
          <w:lang w:eastAsia="en-GB"/>
        </w:rPr>
      </w:pPr>
      <w:bookmarkStart w:id="0" w:name="_Hlk73970817"/>
      <w:r w:rsidRPr="00791D1E">
        <w:rPr>
          <w:rFonts w:cstheme="minorHAnsi"/>
          <w:b/>
          <w:color w:val="5F497A"/>
          <w:sz w:val="24"/>
          <w:szCs w:val="24"/>
          <w:lang w:eastAsia="en-GB"/>
        </w:rPr>
        <w:t>Role purpose:</w:t>
      </w:r>
    </w:p>
    <w:bookmarkEnd w:id="0"/>
    <w:p w14:paraId="1ECD2278" w14:textId="5CA85DC6" w:rsidR="00686B50" w:rsidRPr="00791D1E" w:rsidRDefault="00E20E61" w:rsidP="00F713B9">
      <w:pPr>
        <w:jc w:val="both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791D1E">
        <w:rPr>
          <w:rFonts w:eastAsia="Times New Roman" w:cstheme="minorHAnsi"/>
          <w:bCs/>
          <w:color w:val="000000"/>
          <w:sz w:val="24"/>
          <w:szCs w:val="24"/>
          <w:lang w:eastAsia="en-GB"/>
        </w:rPr>
        <w:t>The Digital a</w:t>
      </w:r>
      <w:r w:rsidR="00DA5E82" w:rsidRPr="00791D1E">
        <w:rPr>
          <w:rFonts w:eastAsia="Times New Roman" w:cstheme="minorHAnsi"/>
          <w:bCs/>
          <w:color w:val="000000"/>
          <w:sz w:val="24"/>
          <w:szCs w:val="24"/>
          <w:lang w:eastAsia="en-GB"/>
        </w:rPr>
        <w:t>nd Campaigns Income Lead is responsible for driving voluntary income growth through digital fundraising, data insight and integrated campaigns.</w:t>
      </w:r>
    </w:p>
    <w:p w14:paraId="00939213" w14:textId="2238CEF0" w:rsidR="00DA5E82" w:rsidRPr="00791D1E" w:rsidRDefault="002E130A" w:rsidP="00F713B9">
      <w:pPr>
        <w:jc w:val="both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791D1E">
        <w:rPr>
          <w:rFonts w:eastAsia="Times New Roman" w:cstheme="minorHAnsi"/>
          <w:bCs/>
          <w:color w:val="000000"/>
          <w:sz w:val="24"/>
          <w:szCs w:val="24"/>
          <w:lang w:eastAsia="en-GB"/>
        </w:rPr>
        <w:t>This role provides strategic leadership for income-focused digital activity, ensuring that campaigns, supporter journeys and messaging are designed to convert engagement into measurable income.</w:t>
      </w:r>
    </w:p>
    <w:p w14:paraId="7A15049D" w14:textId="1455B8C9" w:rsidR="008D69FA" w:rsidRPr="00791D1E" w:rsidRDefault="008D69FA" w:rsidP="00F713B9">
      <w:pPr>
        <w:jc w:val="both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791D1E">
        <w:rPr>
          <w:rFonts w:eastAsia="Times New Roman" w:cstheme="minorHAnsi"/>
          <w:bCs/>
          <w:color w:val="000000"/>
          <w:sz w:val="24"/>
          <w:szCs w:val="24"/>
          <w:lang w:eastAsia="en-GB"/>
        </w:rPr>
        <w:t xml:space="preserve">The role is accountable for income performance, not awareness for its own sake.  </w:t>
      </w:r>
      <w:r w:rsidR="00C175B0" w:rsidRPr="00791D1E">
        <w:rPr>
          <w:rFonts w:eastAsia="Times New Roman" w:cstheme="minorHAnsi"/>
          <w:bCs/>
          <w:color w:val="000000"/>
          <w:sz w:val="24"/>
          <w:szCs w:val="24"/>
          <w:lang w:eastAsia="en-GB"/>
        </w:rPr>
        <w:t>The postholder will use data, testing and insight to prioritise activity, optimise return on investment an support sustainable income growth across the organisation.</w:t>
      </w:r>
    </w:p>
    <w:p w14:paraId="6D57C56C" w14:textId="52E519DA" w:rsidR="00935007" w:rsidRPr="00791D1E" w:rsidRDefault="00935007" w:rsidP="00F713B9">
      <w:pPr>
        <w:jc w:val="both"/>
        <w:rPr>
          <w:rFonts w:eastAsia="Times New Roman" w:cstheme="minorHAnsi"/>
          <w:bCs/>
          <w:color w:val="000000"/>
          <w:sz w:val="24"/>
          <w:szCs w:val="24"/>
          <w:lang w:eastAsia="en-GB"/>
        </w:rPr>
      </w:pPr>
      <w:r w:rsidRPr="00791D1E">
        <w:rPr>
          <w:rFonts w:eastAsia="Times New Roman" w:cstheme="minorHAnsi"/>
          <w:bCs/>
          <w:color w:val="000000"/>
          <w:sz w:val="24"/>
          <w:szCs w:val="24"/>
          <w:lang w:eastAsia="en-GB"/>
        </w:rPr>
        <w:t>The postholder will have an annual income target, which will be reviewed annually, with direct accountability for income generated through:</w:t>
      </w:r>
    </w:p>
    <w:p w14:paraId="1CB97C4C" w14:textId="5F632B92" w:rsidR="00935007" w:rsidRPr="00791D1E" w:rsidRDefault="00FE6998" w:rsidP="00FE6998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91D1E">
        <w:rPr>
          <w:rFonts w:cstheme="minorHAnsi"/>
          <w:sz w:val="24"/>
          <w:szCs w:val="24"/>
        </w:rPr>
        <w:t>Digital fundraising and online giving</w:t>
      </w:r>
    </w:p>
    <w:p w14:paraId="502ED0F6" w14:textId="0BC2B867" w:rsidR="00FE6998" w:rsidRPr="00791D1E" w:rsidRDefault="00FE6998" w:rsidP="00FE6998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91D1E">
        <w:rPr>
          <w:rFonts w:cstheme="minorHAnsi"/>
          <w:sz w:val="24"/>
          <w:szCs w:val="24"/>
        </w:rPr>
        <w:t>Integrated appeals and campaigns</w:t>
      </w:r>
    </w:p>
    <w:p w14:paraId="65848800" w14:textId="4E09EA10" w:rsidR="00FE6998" w:rsidRPr="00791D1E" w:rsidRDefault="00FE6998" w:rsidP="00FE6998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91D1E">
        <w:rPr>
          <w:rFonts w:cstheme="minorHAnsi"/>
          <w:sz w:val="24"/>
          <w:szCs w:val="24"/>
        </w:rPr>
        <w:t>Paid digital activity and optimisation</w:t>
      </w:r>
    </w:p>
    <w:p w14:paraId="467D532B" w14:textId="02BAA99F" w:rsidR="00FE6998" w:rsidRPr="00791D1E" w:rsidRDefault="00FE6998" w:rsidP="00FE6998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91D1E">
        <w:rPr>
          <w:rFonts w:cstheme="minorHAnsi"/>
          <w:sz w:val="24"/>
          <w:szCs w:val="24"/>
        </w:rPr>
        <w:t>Supporter journeys, upgrades and retention</w:t>
      </w:r>
    </w:p>
    <w:p w14:paraId="29263743" w14:textId="0E0E5100" w:rsidR="008B7F3B" w:rsidRPr="00791D1E" w:rsidRDefault="008B7F3B" w:rsidP="00FE6998">
      <w:pPr>
        <w:pStyle w:val="ListParagraph"/>
        <w:numPr>
          <w:ilvl w:val="0"/>
          <w:numId w:val="13"/>
        </w:numPr>
        <w:spacing w:line="240" w:lineRule="auto"/>
        <w:jc w:val="both"/>
        <w:rPr>
          <w:rFonts w:cstheme="minorHAnsi"/>
          <w:sz w:val="24"/>
          <w:szCs w:val="24"/>
        </w:rPr>
      </w:pPr>
      <w:r w:rsidRPr="00791D1E">
        <w:rPr>
          <w:rFonts w:cstheme="minorHAnsi"/>
          <w:sz w:val="24"/>
          <w:szCs w:val="24"/>
        </w:rPr>
        <w:t>CRM data segmentation</w:t>
      </w:r>
    </w:p>
    <w:p w14:paraId="54E8606F" w14:textId="77777777" w:rsidR="009A7CE5" w:rsidRPr="004C4764" w:rsidRDefault="009A7CE5" w:rsidP="00F713B9">
      <w:pPr>
        <w:jc w:val="both"/>
        <w:rPr>
          <w:rFonts w:cstheme="minorHAnsi"/>
          <w:color w:val="5F497A"/>
          <w:sz w:val="28"/>
          <w:szCs w:val="28"/>
        </w:rPr>
      </w:pPr>
      <w:bookmarkStart w:id="1" w:name="_Hlk73970874"/>
      <w:r w:rsidRPr="004C4764">
        <w:rPr>
          <w:rFonts w:cstheme="minorHAnsi"/>
          <w:b/>
          <w:color w:val="5F497A"/>
          <w:sz w:val="28"/>
          <w:szCs w:val="28"/>
        </w:rPr>
        <w:t>Principal Responsibilities</w:t>
      </w:r>
      <w:r w:rsidRPr="004C4764">
        <w:rPr>
          <w:rFonts w:cstheme="minorHAnsi"/>
          <w:color w:val="5F497A"/>
          <w:sz w:val="28"/>
          <w:szCs w:val="28"/>
        </w:rPr>
        <w:t xml:space="preserve">: </w:t>
      </w:r>
    </w:p>
    <w:bookmarkEnd w:id="1"/>
    <w:p w14:paraId="5397BB3F" w14:textId="780D0B58" w:rsidR="00676C2C" w:rsidRPr="001A2459" w:rsidRDefault="00676C2C" w:rsidP="004633DD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1A2459">
        <w:rPr>
          <w:rFonts w:cstheme="minorHAnsi"/>
          <w:b/>
          <w:bCs/>
          <w:sz w:val="24"/>
          <w:szCs w:val="24"/>
        </w:rPr>
        <w:t>Digital Income Strategy and Delivery</w:t>
      </w:r>
    </w:p>
    <w:p w14:paraId="7E202EEE" w14:textId="77777777" w:rsidR="00676C2C" w:rsidRPr="00791D1E" w:rsidRDefault="00676C2C" w:rsidP="00676C2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91D1E">
        <w:rPr>
          <w:rFonts w:cstheme="minorHAnsi"/>
          <w:sz w:val="24"/>
          <w:szCs w:val="24"/>
        </w:rPr>
        <w:t>Develop and lead the organisation’s digital income strategy, aligned to Income Generation objectives</w:t>
      </w:r>
    </w:p>
    <w:p w14:paraId="781210CE" w14:textId="77777777" w:rsidR="00676C2C" w:rsidRPr="00791D1E" w:rsidRDefault="00676C2C" w:rsidP="00676C2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91D1E">
        <w:rPr>
          <w:rFonts w:cstheme="minorHAnsi"/>
          <w:sz w:val="24"/>
          <w:szCs w:val="24"/>
        </w:rPr>
        <w:t>Own and optimise online donation journeys, including appeals, regular giving and peer-to-peer fundraising</w:t>
      </w:r>
    </w:p>
    <w:p w14:paraId="5230B3B8" w14:textId="77777777" w:rsidR="00661C27" w:rsidRPr="00791D1E" w:rsidRDefault="00661C27" w:rsidP="00676C2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91D1E">
        <w:rPr>
          <w:rFonts w:cstheme="minorHAnsi"/>
          <w:sz w:val="24"/>
          <w:szCs w:val="24"/>
        </w:rPr>
        <w:t>Lead on paid digital activity (e.g. search, social, display), ensuring spend is evidence-led and ROI focused</w:t>
      </w:r>
    </w:p>
    <w:p w14:paraId="7D309BF6" w14:textId="267C1EB5" w:rsidR="00ED2C93" w:rsidRPr="00791D1E" w:rsidRDefault="00123D56" w:rsidP="00676C2C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791D1E">
        <w:rPr>
          <w:rFonts w:cstheme="minorHAnsi"/>
          <w:sz w:val="24"/>
          <w:szCs w:val="24"/>
        </w:rPr>
        <w:t>Identify and scale digital income opportunities through testing, learning and innovation.</w:t>
      </w:r>
      <w:r w:rsidR="00676C2C" w:rsidRPr="00791D1E">
        <w:rPr>
          <w:rFonts w:cstheme="minorHAnsi"/>
          <w:sz w:val="24"/>
          <w:szCs w:val="24"/>
        </w:rPr>
        <w:br/>
      </w:r>
    </w:p>
    <w:p w14:paraId="4048CA5C" w14:textId="77777777" w:rsidR="00F24C34" w:rsidRPr="00F24C34" w:rsidRDefault="00F24C34" w:rsidP="00676C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F24C34">
        <w:rPr>
          <w:rFonts w:cstheme="minorHAnsi"/>
          <w:b/>
          <w:bCs/>
          <w:sz w:val="24"/>
          <w:szCs w:val="24"/>
        </w:rPr>
        <w:t>Data Insight and Performance Leadership</w:t>
      </w:r>
    </w:p>
    <w:p w14:paraId="32C7016F" w14:textId="77777777" w:rsidR="00F24C34" w:rsidRDefault="00F24C34" w:rsidP="00F24C3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 as the organisational lead for fundraising data, insight and performance analysis</w:t>
      </w:r>
    </w:p>
    <w:p w14:paraId="59827D1B" w14:textId="40504001" w:rsidR="00F24C34" w:rsidRDefault="00F24C34" w:rsidP="00F24C3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Build and maintain dashboards and reporting to track income, conversion, retention and lifetime value</w:t>
      </w:r>
    </w:p>
    <w:p w14:paraId="59F6293C" w14:textId="13FA09DE" w:rsidR="00F24C34" w:rsidRDefault="00F24C34" w:rsidP="00F24C34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Use data to inform decision making, prioritisation and forecasting across Income Generation</w:t>
      </w:r>
    </w:p>
    <w:p w14:paraId="167C0D11" w14:textId="189079BA" w:rsidR="00676C2C" w:rsidRPr="00F24C34" w:rsidRDefault="00F24C34" w:rsidP="00997319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24C34">
        <w:rPr>
          <w:rFonts w:cstheme="minorHAnsi"/>
          <w:sz w:val="24"/>
          <w:szCs w:val="24"/>
        </w:rPr>
        <w:t>Champion a culture of insight-led planning and continuous improvement.</w:t>
      </w:r>
      <w:r w:rsidR="00676C2C" w:rsidRPr="00F24C34">
        <w:rPr>
          <w:rFonts w:cstheme="minorHAnsi"/>
          <w:sz w:val="24"/>
          <w:szCs w:val="24"/>
        </w:rPr>
        <w:br/>
      </w:r>
    </w:p>
    <w:p w14:paraId="76663DBB" w14:textId="77777777" w:rsidR="000766A6" w:rsidRPr="000766A6" w:rsidRDefault="000766A6" w:rsidP="00676C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0766A6">
        <w:rPr>
          <w:rFonts w:cstheme="minorHAnsi"/>
          <w:b/>
          <w:bCs/>
          <w:sz w:val="24"/>
          <w:szCs w:val="24"/>
        </w:rPr>
        <w:t>Campaign Leadership (Income Focused)</w:t>
      </w:r>
    </w:p>
    <w:p w14:paraId="36B80F21" w14:textId="77777777" w:rsidR="000766A6" w:rsidRDefault="000766A6" w:rsidP="000766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Lead the strategic planning and delivery of integrated fundraising campaigns, ensuring activity is outcome-driven, measurable and aligned to agreed income objectives</w:t>
      </w:r>
    </w:p>
    <w:p w14:paraId="494FD555" w14:textId="77777777" w:rsidR="00F42E24" w:rsidRDefault="000766A6" w:rsidP="000766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Hold accountability for delivering</w:t>
      </w:r>
      <w:r w:rsidR="00F42E24">
        <w:rPr>
          <w:rFonts w:cstheme="minorHAnsi"/>
          <w:sz w:val="24"/>
          <w:szCs w:val="24"/>
        </w:rPr>
        <w:t xml:space="preserve"> agreed income targets across the Hospice’s campaign portfolio, including: Regular Giving, Christmas Campaigns, Lottery, Light Up a Life, Digital Fundraising and Raffles.</w:t>
      </w:r>
    </w:p>
    <w:p w14:paraId="421F84BD" w14:textId="77777777" w:rsidR="00F42E24" w:rsidRDefault="00F42E24" w:rsidP="000766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Own campaign income forecasting, performance monitoring and reporting, ensuring return on investment, cost-to-income rations and income growth meet agreed expectations</w:t>
      </w:r>
    </w:p>
    <w:p w14:paraId="56B65E03" w14:textId="77777777" w:rsidR="00F42E24" w:rsidRDefault="00F42E24" w:rsidP="000766A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Coordinate campaign activity across digital, community fundraising and retail, ensuring clear alignment and maximum income impact</w:t>
      </w:r>
    </w:p>
    <w:p w14:paraId="754F5E19" w14:textId="77777777" w:rsidR="00812F66" w:rsidRDefault="004F793D" w:rsidP="00812F6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Ensure campaigns are audience-led, timely and informed by insight, with clear supporter journeys and calls to action</w:t>
      </w:r>
    </w:p>
    <w:p w14:paraId="3256CFEE" w14:textId="77777777" w:rsidR="00812F66" w:rsidRDefault="00812F66" w:rsidP="00812F6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performance insight and evaluation to drive continuous improvement, embedding learning into future campaign planning and investment decisions</w:t>
      </w:r>
    </w:p>
    <w:p w14:paraId="203DF2EC" w14:textId="77777777" w:rsidR="00812F66" w:rsidRPr="00812F66" w:rsidRDefault="00812F66" w:rsidP="00812F66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The campaign portfolio above is no exhaustive: the postholder is expected to identify, test and develop new campaign approaches and income opportunities in response to insight, performance and emerging trends,</w:t>
      </w:r>
    </w:p>
    <w:p w14:paraId="6F82141C" w14:textId="039D1883" w:rsidR="00676C2C" w:rsidRPr="00812F66" w:rsidRDefault="00676C2C" w:rsidP="00812F66">
      <w:pPr>
        <w:pStyle w:val="ListParagraph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14:paraId="370167D4" w14:textId="77777777" w:rsidR="009634C5" w:rsidRPr="009634C5" w:rsidRDefault="009634C5" w:rsidP="00676C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Supporter Journeys and Growth</w:t>
      </w:r>
    </w:p>
    <w:p w14:paraId="6C8F99B3" w14:textId="6CE30B4C" w:rsidR="001A2459" w:rsidRDefault="001A2459" w:rsidP="001A2459">
      <w:pPr>
        <w:pStyle w:val="ListParagraph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 closely with the Supporter Development Managers</w:t>
      </w:r>
      <w:r w:rsidR="006A62AA">
        <w:rPr>
          <w:rFonts w:cstheme="minorHAnsi"/>
          <w:sz w:val="24"/>
          <w:szCs w:val="24"/>
        </w:rPr>
        <w:t xml:space="preserve"> to:</w:t>
      </w:r>
    </w:p>
    <w:p w14:paraId="22800F6D" w14:textId="27791E64" w:rsidR="007055D8" w:rsidRDefault="009634C5" w:rsidP="007055D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Design and optimise end-to-end supporter journeys, from acquisition to long-term support</w:t>
      </w:r>
    </w:p>
    <w:p w14:paraId="730B330C" w14:textId="6D268CBF" w:rsidR="003C4217" w:rsidRDefault="006A62AA" w:rsidP="007055D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Align</w:t>
      </w:r>
      <w:r w:rsidR="007055D8">
        <w:rPr>
          <w:rFonts w:cstheme="minorHAnsi"/>
          <w:sz w:val="24"/>
          <w:szCs w:val="24"/>
        </w:rPr>
        <w:t xml:space="preserve"> digital and place-based activity</w:t>
      </w:r>
    </w:p>
    <w:p w14:paraId="13410C35" w14:textId="77777777" w:rsidR="007B6D92" w:rsidRDefault="007B6D92" w:rsidP="007055D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Lead on stewardship approaches that drive retention, upgrades and long-term value</w:t>
      </w:r>
    </w:p>
    <w:p w14:paraId="20E8C68D" w14:textId="77777777" w:rsidR="00CA35DD" w:rsidRDefault="007B6D92" w:rsidP="007055D8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CA35DD">
        <w:rPr>
          <w:rFonts w:cstheme="minorHAnsi"/>
          <w:sz w:val="24"/>
          <w:szCs w:val="24"/>
        </w:rPr>
        <w:t>Ensure supporter experience supports trust, loy</w:t>
      </w:r>
      <w:r w:rsidR="00CA35DD" w:rsidRPr="00CA35DD">
        <w:rPr>
          <w:rFonts w:cstheme="minorHAnsi"/>
          <w:sz w:val="24"/>
          <w:szCs w:val="24"/>
        </w:rPr>
        <w:t>alty</w:t>
      </w:r>
      <w:r w:rsidR="00CA35DD">
        <w:rPr>
          <w:rFonts w:cstheme="minorHAnsi"/>
          <w:sz w:val="24"/>
          <w:szCs w:val="24"/>
        </w:rPr>
        <w:t xml:space="preserve"> and sustained income growth.</w:t>
      </w:r>
    </w:p>
    <w:p w14:paraId="09B696B1" w14:textId="1D15D3EF" w:rsidR="00676C2C" w:rsidRPr="00CA35DD" w:rsidRDefault="00676C2C" w:rsidP="00CA35DD">
      <w:pPr>
        <w:pStyle w:val="ListParagraph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14:paraId="7496A974" w14:textId="77777777" w:rsidR="00CA35DD" w:rsidRPr="00CA35DD" w:rsidRDefault="00CA35DD" w:rsidP="00676C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CA35DD">
        <w:rPr>
          <w:rFonts w:cstheme="minorHAnsi"/>
          <w:b/>
          <w:bCs/>
          <w:sz w:val="24"/>
          <w:szCs w:val="24"/>
        </w:rPr>
        <w:t>Collaboration and Enablement</w:t>
      </w:r>
    </w:p>
    <w:p w14:paraId="645B112A" w14:textId="77777777" w:rsidR="009334EE" w:rsidRDefault="009334EE" w:rsidP="00CA35D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Work collaboratively across the Income Generation and Retail teams, providing insight, briefs and performance feedback</w:t>
      </w:r>
    </w:p>
    <w:p w14:paraId="1C24645D" w14:textId="77777777" w:rsidR="009334EE" w:rsidRDefault="009334EE" w:rsidP="00CA35D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Ensure digital and campaign activity supports wider income priorities rather than operating in isolation</w:t>
      </w:r>
    </w:p>
    <w:p w14:paraId="733E0DC7" w14:textId="03AD20B6" w:rsidR="00BD7584" w:rsidRDefault="00CC0EF4" w:rsidP="00CA35D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Provide supervision to</w:t>
      </w:r>
      <w:r w:rsidR="00134A13">
        <w:rPr>
          <w:rFonts w:cstheme="minorHAnsi"/>
          <w:sz w:val="24"/>
          <w:szCs w:val="24"/>
        </w:rPr>
        <w:t xml:space="preserve"> the Fundraising Assistant</w:t>
      </w:r>
      <w:r w:rsidR="00BD7584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to ensure</w:t>
      </w:r>
      <w:r w:rsidR="00BD7584">
        <w:rPr>
          <w:rFonts w:cstheme="minorHAnsi"/>
          <w:sz w:val="24"/>
          <w:szCs w:val="24"/>
        </w:rPr>
        <w:t xml:space="preserve"> effective support for campaigns, data and administration</w:t>
      </w:r>
    </w:p>
    <w:p w14:paraId="684D4D8E" w14:textId="77777777" w:rsidR="00EF0F41" w:rsidRDefault="00BD7584" w:rsidP="00CA35DD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 relationships with external suppliers to deliver cost-effective, high-performing activity.</w:t>
      </w:r>
    </w:p>
    <w:p w14:paraId="4133124D" w14:textId="78A536AB" w:rsidR="00676C2C" w:rsidRPr="00CA35DD" w:rsidRDefault="00676C2C" w:rsidP="00EF0F41">
      <w:pPr>
        <w:pStyle w:val="ListParagraph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14:paraId="172F886C" w14:textId="77777777" w:rsidR="00EF0F41" w:rsidRDefault="00EF0F41" w:rsidP="00676C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Governance, Compliance and Systems</w:t>
      </w:r>
    </w:p>
    <w:p w14:paraId="1DD42882" w14:textId="77777777" w:rsidR="00EF0F41" w:rsidRDefault="00EF0F41" w:rsidP="00EF0F4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Ensure compliance with GDPR, fundraising regulation and organisational policies</w:t>
      </w:r>
    </w:p>
    <w:p w14:paraId="758001C2" w14:textId="77777777" w:rsidR="00EF0F41" w:rsidRDefault="00EF0F41" w:rsidP="00EF0F4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Maintain high standards of data quality and integrity within the CRM</w:t>
      </w:r>
    </w:p>
    <w:p w14:paraId="14652BCE" w14:textId="77777777" w:rsidR="00EF0F41" w:rsidRDefault="00EF0F41" w:rsidP="00EF0F41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Contribute to income forecasting, risk management and strategic planning.</w:t>
      </w:r>
    </w:p>
    <w:p w14:paraId="72C49707" w14:textId="77777777" w:rsidR="006F568B" w:rsidRDefault="006F568B" w:rsidP="006F568B">
      <w:pPr>
        <w:pStyle w:val="ListParagraph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14:paraId="69BCABED" w14:textId="77777777" w:rsidR="006F568B" w:rsidRDefault="006F568B" w:rsidP="006F568B">
      <w:pPr>
        <w:pStyle w:val="ListParagraph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14:paraId="6161D411" w14:textId="2D652D08" w:rsidR="00676C2C" w:rsidRPr="00CA35DD" w:rsidRDefault="00676C2C" w:rsidP="00EF0F41">
      <w:pPr>
        <w:pStyle w:val="ListParagraph"/>
        <w:spacing w:after="0" w:line="240" w:lineRule="auto"/>
        <w:ind w:left="1080"/>
        <w:jc w:val="both"/>
        <w:rPr>
          <w:rFonts w:cstheme="minorHAnsi"/>
          <w:sz w:val="24"/>
          <w:szCs w:val="24"/>
        </w:rPr>
      </w:pPr>
    </w:p>
    <w:p w14:paraId="61EC5171" w14:textId="77777777" w:rsidR="00E86968" w:rsidRDefault="009409D2" w:rsidP="00676C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5F6E39">
        <w:rPr>
          <w:rFonts w:cstheme="minorHAnsi"/>
          <w:b/>
          <w:bCs/>
          <w:sz w:val="24"/>
          <w:szCs w:val="24"/>
        </w:rPr>
        <w:lastRenderedPageBreak/>
        <w:t>Website Ownership and Optimisation (Income Focused)</w:t>
      </w:r>
    </w:p>
    <w:p w14:paraId="2EA6A859" w14:textId="77777777" w:rsidR="00E86968" w:rsidRDefault="00E86968" w:rsidP="00E86968">
      <w:pPr>
        <w:pStyle w:val="ListParagraph"/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</w:p>
    <w:p w14:paraId="54F3728E" w14:textId="77777777" w:rsidR="00E86968" w:rsidRDefault="00E86968" w:rsidP="00E8696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Act as the strategic owner of the Hospice’s website, as a key income and supporter acquisition platform</w:t>
      </w:r>
    </w:p>
    <w:p w14:paraId="1A7E8416" w14:textId="0401B2D5" w:rsidR="00E86968" w:rsidRDefault="00E86968" w:rsidP="00E8696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Ensure the website is optimised</w:t>
      </w:r>
      <w:r w:rsidR="00A24554">
        <w:rPr>
          <w:rFonts w:cstheme="minorHAnsi"/>
          <w:sz w:val="24"/>
          <w:szCs w:val="24"/>
        </w:rPr>
        <w:t xml:space="preserve"> across the organisation, including</w:t>
      </w:r>
      <w:r>
        <w:rPr>
          <w:rFonts w:cstheme="minorHAnsi"/>
          <w:sz w:val="24"/>
          <w:szCs w:val="24"/>
        </w:rPr>
        <w:t xml:space="preserve"> for donations, regular giving, appeals and conversion</w:t>
      </w:r>
    </w:p>
    <w:p w14:paraId="029DF2F3" w14:textId="77777777" w:rsidR="00E86968" w:rsidRDefault="00E86968" w:rsidP="00E8696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data, testing and insight to continuously improve user journeys and income performance</w:t>
      </w:r>
    </w:p>
    <w:p w14:paraId="007DF52D" w14:textId="77777777" w:rsidR="00E86968" w:rsidRDefault="00E86968" w:rsidP="00E8696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Manage website developmental priorities, working with external suppliers where required</w:t>
      </w:r>
    </w:p>
    <w:p w14:paraId="58AA2C64" w14:textId="7B3368DB" w:rsidR="00E86968" w:rsidRDefault="00E86968" w:rsidP="00E86968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4C4764">
        <w:rPr>
          <w:rFonts w:cstheme="minorHAnsi"/>
          <w:sz w:val="24"/>
          <w:szCs w:val="24"/>
        </w:rPr>
        <w:t>Ensure content supports income goals, accessibility standards and regulatory requirements.</w:t>
      </w:r>
    </w:p>
    <w:p w14:paraId="30121281" w14:textId="4A9531F4" w:rsidR="009409D2" w:rsidRDefault="00E86968" w:rsidP="00E86968">
      <w:pPr>
        <w:pStyle w:val="ListParagraph"/>
        <w:spacing w:after="0" w:line="240" w:lineRule="auto"/>
        <w:ind w:left="36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br/>
      </w:r>
    </w:p>
    <w:p w14:paraId="3A4657F3" w14:textId="5A4FF566" w:rsidR="00E86968" w:rsidRPr="005F6E39" w:rsidRDefault="00E86968" w:rsidP="00676C2C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Key Performance Indicators</w:t>
      </w:r>
    </w:p>
    <w:p w14:paraId="07761A87" w14:textId="77777777" w:rsidR="0044516B" w:rsidRDefault="0044516B" w:rsidP="004840E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Delivery of agreed annual income target</w:t>
      </w:r>
    </w:p>
    <w:p w14:paraId="0CD94C62" w14:textId="77777777" w:rsidR="0044516B" w:rsidRDefault="0044516B" w:rsidP="004840E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Growth in digital income and ROI</w:t>
      </w:r>
    </w:p>
    <w:p w14:paraId="7C17F79B" w14:textId="77777777" w:rsidR="0044516B" w:rsidRDefault="0044516B" w:rsidP="004840E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Campaign income performance and conversion rates</w:t>
      </w:r>
    </w:p>
    <w:p w14:paraId="3D1371D8" w14:textId="77777777" w:rsidR="0044516B" w:rsidRDefault="0044516B" w:rsidP="004840E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Improvements in supporter retention, upgrade and lifetime value</w:t>
      </w:r>
    </w:p>
    <w:p w14:paraId="42C5863C" w14:textId="669B2D25" w:rsidR="00F713B9" w:rsidRPr="004C4764" w:rsidRDefault="0044516B" w:rsidP="004840E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Quality and use of insight across Income Generation decision making.</w:t>
      </w:r>
      <w:r w:rsidR="00676C2C" w:rsidRPr="004C4764">
        <w:rPr>
          <w:rFonts w:cstheme="minorHAnsi"/>
          <w:sz w:val="24"/>
          <w:szCs w:val="24"/>
        </w:rPr>
        <w:br/>
      </w:r>
    </w:p>
    <w:p w14:paraId="04344747" w14:textId="77777777" w:rsidR="00F713B9" w:rsidRPr="004C4764" w:rsidRDefault="00F713B9" w:rsidP="00F713B9">
      <w:pPr>
        <w:spacing w:after="0" w:line="240" w:lineRule="auto"/>
        <w:jc w:val="both"/>
        <w:rPr>
          <w:rFonts w:eastAsia="Times New Roman" w:cstheme="minorHAnsi"/>
          <w:b/>
          <w:color w:val="5F497A"/>
          <w:sz w:val="28"/>
          <w:szCs w:val="28"/>
        </w:rPr>
      </w:pPr>
      <w:r w:rsidRPr="004C4764">
        <w:rPr>
          <w:rFonts w:eastAsia="Times New Roman" w:cstheme="minorHAnsi"/>
          <w:b/>
          <w:color w:val="5F497A"/>
          <w:sz w:val="28"/>
          <w:szCs w:val="28"/>
        </w:rPr>
        <w:t>Other:</w:t>
      </w:r>
    </w:p>
    <w:p w14:paraId="6EAA19B0" w14:textId="3A2C1290" w:rsidR="00931875" w:rsidRPr="006F2890" w:rsidRDefault="00931875" w:rsidP="00931875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6F2890">
        <w:rPr>
          <w:rFonts w:cstheme="minorHAnsi"/>
          <w:color w:val="000000"/>
          <w:sz w:val="24"/>
          <w:szCs w:val="24"/>
        </w:rPr>
        <w:t>Contribute to the vision and mission of The Shakespeare Hospice working with colleagues in all teams to meet the objectives of the organisation</w:t>
      </w:r>
    </w:p>
    <w:p w14:paraId="1A2E0389" w14:textId="47D0FBF9" w:rsidR="00931875" w:rsidRPr="006F2890" w:rsidRDefault="00931875" w:rsidP="00931875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6F2890">
        <w:rPr>
          <w:rFonts w:cs="Arial"/>
          <w:color w:val="000000"/>
          <w:sz w:val="24"/>
          <w:szCs w:val="24"/>
        </w:rPr>
        <w:t>Undertake specific projects agreed with your line manager, fulfilling any deadlines, reviews and reporting procedures required</w:t>
      </w:r>
    </w:p>
    <w:p w14:paraId="37015878" w14:textId="375F5B3F" w:rsidR="00931875" w:rsidRPr="006F2890" w:rsidRDefault="00931875" w:rsidP="00931875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6F2890">
        <w:rPr>
          <w:rFonts w:cs="Arial"/>
          <w:color w:val="000000"/>
          <w:sz w:val="24"/>
          <w:szCs w:val="24"/>
        </w:rPr>
        <w:t>Work with the objectives, targets and plans as agreed with your line manager and p</w:t>
      </w:r>
      <w:r w:rsidRPr="006F2890">
        <w:rPr>
          <w:rFonts w:ascii="Calibri" w:eastAsia="Calibri" w:hAnsi="Calibri" w:cs="Calibri"/>
          <w:sz w:val="24"/>
          <w:szCs w:val="24"/>
        </w:rPr>
        <w:t>articipate in the annual appraisal programme</w:t>
      </w:r>
    </w:p>
    <w:p w14:paraId="294744CA" w14:textId="603C46EB" w:rsidR="00931875" w:rsidRPr="006F2890" w:rsidRDefault="00931875" w:rsidP="00931875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6F2890">
        <w:rPr>
          <w:rFonts w:ascii="Calibri" w:eastAsia="Calibri" w:hAnsi="Calibri" w:cs="Calibri"/>
          <w:sz w:val="24"/>
          <w:szCs w:val="24"/>
        </w:rPr>
        <w:t>Adhere to all Hospice policies and procedures</w:t>
      </w:r>
    </w:p>
    <w:p w14:paraId="5402ED84" w14:textId="037986B5" w:rsidR="00931875" w:rsidRPr="006F2890" w:rsidRDefault="00931875" w:rsidP="00931875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6F2890">
        <w:rPr>
          <w:rFonts w:ascii="Calibri" w:eastAsia="Calibri" w:hAnsi="Calibri" w:cs="Calibri"/>
          <w:sz w:val="24"/>
          <w:szCs w:val="24"/>
        </w:rPr>
        <w:t xml:space="preserve">Maintain high professional standards and continuing professional development </w:t>
      </w:r>
    </w:p>
    <w:p w14:paraId="4393643F" w14:textId="68317F5B" w:rsidR="00931875" w:rsidRPr="006F2890" w:rsidRDefault="00931875" w:rsidP="00931875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6F2890">
        <w:rPr>
          <w:rFonts w:ascii="Calibri" w:eastAsia="Calibri" w:hAnsi="Calibri" w:cs="Calibri"/>
          <w:sz w:val="24"/>
          <w:szCs w:val="24"/>
        </w:rPr>
        <w:t>Complete mandatory and relevant training as identified with the Chief Executive</w:t>
      </w:r>
    </w:p>
    <w:p w14:paraId="0CA8936A" w14:textId="4DEFA957" w:rsidR="00931875" w:rsidRPr="006F2890" w:rsidRDefault="00931875" w:rsidP="00931875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6F2890">
        <w:rPr>
          <w:rFonts w:ascii="Calibri" w:eastAsia="Calibri" w:hAnsi="Calibri" w:cs="Calibri"/>
          <w:sz w:val="24"/>
          <w:szCs w:val="24"/>
        </w:rPr>
        <w:t>Promote the work of the Hospice, reflecting the vision and values</w:t>
      </w:r>
    </w:p>
    <w:p w14:paraId="18A55F4A" w14:textId="20984555" w:rsidR="00931875" w:rsidRPr="006F2890" w:rsidRDefault="00931875" w:rsidP="00931875">
      <w:pPr>
        <w:pStyle w:val="ListParagraph"/>
        <w:numPr>
          <w:ilvl w:val="0"/>
          <w:numId w:val="22"/>
        </w:numPr>
        <w:spacing w:after="0"/>
        <w:jc w:val="both"/>
        <w:rPr>
          <w:rFonts w:cstheme="minorHAnsi"/>
          <w:color w:val="000000"/>
          <w:sz w:val="24"/>
          <w:szCs w:val="24"/>
        </w:rPr>
      </w:pPr>
      <w:r w:rsidRPr="006F2890">
        <w:rPr>
          <w:rFonts w:ascii="Calibri" w:eastAsia="Calibri" w:hAnsi="Calibri" w:cs="Calibri"/>
          <w:sz w:val="24"/>
          <w:szCs w:val="24"/>
        </w:rPr>
        <w:t>To undertake any other duties commensurate with the post and as requested by the Chief Executive.</w:t>
      </w:r>
    </w:p>
    <w:p w14:paraId="2AEB013B" w14:textId="77777777" w:rsidR="006F2890" w:rsidRPr="006F2890" w:rsidRDefault="006F2890" w:rsidP="006F2890">
      <w:pPr>
        <w:pStyle w:val="ListParagraph"/>
        <w:spacing w:after="0"/>
        <w:ind w:left="1080"/>
        <w:jc w:val="both"/>
        <w:rPr>
          <w:rFonts w:cstheme="minorHAnsi"/>
          <w:color w:val="000000"/>
          <w:sz w:val="24"/>
          <w:szCs w:val="24"/>
        </w:rPr>
      </w:pPr>
    </w:p>
    <w:p w14:paraId="6E2B070E" w14:textId="1B45699C" w:rsidR="000765F3" w:rsidRPr="006F2890" w:rsidRDefault="00931875" w:rsidP="00931875">
      <w:pPr>
        <w:jc w:val="both"/>
        <w:rPr>
          <w:rFonts w:cstheme="minorHAnsi"/>
          <w:sz w:val="24"/>
          <w:szCs w:val="24"/>
        </w:rPr>
      </w:pPr>
      <w:r w:rsidRPr="006F2890">
        <w:rPr>
          <w:color w:val="000000"/>
          <w:sz w:val="24"/>
          <w:szCs w:val="24"/>
        </w:rPr>
        <w:t>This job description is subject to periodic review in negotiation with the post-holder and may be revised/updated as service requirements change/develop.</w:t>
      </w:r>
    </w:p>
    <w:p w14:paraId="3E46F22D" w14:textId="65B7A8F3" w:rsidR="005E59EF" w:rsidRDefault="005E59E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51D95CAD" w14:textId="77777777" w:rsidR="00F713B9" w:rsidRPr="00791D1E" w:rsidRDefault="00F713B9" w:rsidP="00F713B9">
      <w:pPr>
        <w:pStyle w:val="ListParagraph"/>
        <w:jc w:val="both"/>
        <w:rPr>
          <w:rFonts w:cstheme="minorHAnsi"/>
          <w:sz w:val="24"/>
          <w:szCs w:val="24"/>
        </w:rPr>
      </w:pPr>
    </w:p>
    <w:p w14:paraId="6EF22AAD" w14:textId="123E5182" w:rsidR="00F713B9" w:rsidRPr="00791D1E" w:rsidRDefault="00F713B9" w:rsidP="00F713B9">
      <w:pPr>
        <w:jc w:val="center"/>
        <w:rPr>
          <w:rFonts w:cstheme="minorHAnsi"/>
          <w:b/>
          <w:color w:val="5F497A"/>
          <w:sz w:val="24"/>
          <w:szCs w:val="24"/>
        </w:rPr>
      </w:pPr>
      <w:r w:rsidRPr="00791D1E">
        <w:rPr>
          <w:rFonts w:cstheme="minorHAnsi"/>
          <w:b/>
          <w:color w:val="5F497A"/>
          <w:sz w:val="24"/>
          <w:szCs w:val="24"/>
        </w:rPr>
        <w:t>PERSON</w:t>
      </w:r>
      <w:r w:rsidRPr="00791D1E">
        <w:rPr>
          <w:rFonts w:cstheme="minorHAnsi"/>
          <w:b/>
          <w:sz w:val="24"/>
          <w:szCs w:val="24"/>
          <w:lang w:eastAsia="en-GB"/>
        </w:rPr>
        <w:t xml:space="preserve"> </w:t>
      </w:r>
      <w:r w:rsidRPr="00791D1E">
        <w:rPr>
          <w:rFonts w:cstheme="minorHAnsi"/>
          <w:b/>
          <w:color w:val="5F497A"/>
          <w:sz w:val="24"/>
          <w:szCs w:val="24"/>
        </w:rPr>
        <w:t>SPECIFICATION –</w:t>
      </w:r>
      <w:r w:rsidR="00D54854">
        <w:rPr>
          <w:rFonts w:cstheme="minorHAnsi"/>
          <w:b/>
          <w:color w:val="5F497A"/>
          <w:sz w:val="24"/>
          <w:szCs w:val="24"/>
        </w:rPr>
        <w:t xml:space="preserve"> </w:t>
      </w:r>
      <w:r w:rsidR="005E59EF">
        <w:rPr>
          <w:rFonts w:cstheme="minorHAnsi"/>
          <w:b/>
          <w:color w:val="5F497A"/>
          <w:sz w:val="24"/>
          <w:szCs w:val="24"/>
        </w:rPr>
        <w:t>Digital and Campaigns Income Lead</w:t>
      </w:r>
    </w:p>
    <w:p w14:paraId="5B5C2FF3" w14:textId="77777777" w:rsidR="00F713B9" w:rsidRPr="00791D1E" w:rsidRDefault="00F713B9" w:rsidP="00F713B9">
      <w:pPr>
        <w:rPr>
          <w:rFonts w:cstheme="minorHAnsi"/>
          <w:b/>
          <w:color w:val="5F497A"/>
          <w:sz w:val="24"/>
          <w:szCs w:val="24"/>
        </w:rPr>
      </w:pPr>
      <w:r w:rsidRPr="00791D1E">
        <w:rPr>
          <w:rFonts w:cstheme="minorHAnsi"/>
          <w:b/>
          <w:color w:val="5F497A"/>
          <w:sz w:val="24"/>
          <w:szCs w:val="24"/>
        </w:rPr>
        <w:t>The successful candidate will need to demonstrate: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34"/>
        <w:gridCol w:w="1667"/>
        <w:gridCol w:w="34"/>
        <w:gridCol w:w="817"/>
        <w:gridCol w:w="34"/>
        <w:gridCol w:w="958"/>
        <w:gridCol w:w="34"/>
        <w:gridCol w:w="822"/>
        <w:gridCol w:w="28"/>
      </w:tblGrid>
      <w:tr w:rsidR="00814B06" w:rsidRPr="00791D1E" w14:paraId="2810DF8E" w14:textId="77777777" w:rsidTr="00A1032F">
        <w:trPr>
          <w:gridAfter w:val="1"/>
          <w:wAfter w:w="28" w:type="dxa"/>
        </w:trPr>
        <w:tc>
          <w:tcPr>
            <w:tcW w:w="4644" w:type="dxa"/>
            <w:tcBorders>
              <w:bottom w:val="single" w:sz="4" w:space="0" w:color="auto"/>
            </w:tcBorders>
          </w:tcPr>
          <w:p w14:paraId="519AD046" w14:textId="1EF070C5" w:rsidR="00814B06" w:rsidRPr="00791D1E" w:rsidRDefault="001719F2" w:rsidP="00F713B9">
            <w:pPr>
              <w:spacing w:after="0"/>
              <w:jc w:val="both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791D1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 xml:space="preserve"> </w:t>
            </w:r>
            <w:r w:rsidR="00814B06" w:rsidRPr="00791D1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CRITERIA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3B34F2A9" w14:textId="77777777" w:rsidR="00814B06" w:rsidRPr="00791D1E" w:rsidRDefault="00814B06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91D1E">
              <w:rPr>
                <w:rFonts w:eastAsia="Times New Roman" w:cstheme="minorHAnsi"/>
                <w:sz w:val="24"/>
                <w:szCs w:val="24"/>
                <w:lang w:eastAsia="en-GB"/>
              </w:rPr>
              <w:t>Essential/</w:t>
            </w:r>
          </w:p>
          <w:p w14:paraId="794E0014" w14:textId="77777777" w:rsidR="00814B06" w:rsidRPr="00791D1E" w:rsidRDefault="00814B06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91D1E">
              <w:rPr>
                <w:rFonts w:eastAsia="Times New Roman" w:cstheme="minorHAnsi"/>
                <w:sz w:val="24"/>
                <w:szCs w:val="24"/>
                <w:lang w:eastAsia="en-GB"/>
              </w:rPr>
              <w:t>Desirable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14:paraId="4065F26E" w14:textId="77777777" w:rsidR="00814B06" w:rsidRPr="00791D1E" w:rsidRDefault="00814B06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91D1E">
              <w:rPr>
                <w:rFonts w:eastAsia="Times New Roman" w:cstheme="minorHAnsi"/>
                <w:sz w:val="24"/>
                <w:szCs w:val="24"/>
                <w:lang w:eastAsia="en-GB"/>
              </w:rPr>
              <w:t>A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14:paraId="221246D8" w14:textId="77777777" w:rsidR="00814B06" w:rsidRPr="00791D1E" w:rsidRDefault="00814B06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91D1E">
              <w:rPr>
                <w:rFonts w:eastAsia="Times New Roman" w:cstheme="minorHAnsi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856" w:type="dxa"/>
            <w:gridSpan w:val="2"/>
            <w:tcBorders>
              <w:bottom w:val="single" w:sz="4" w:space="0" w:color="auto"/>
            </w:tcBorders>
          </w:tcPr>
          <w:p w14:paraId="3234A0FD" w14:textId="77777777" w:rsidR="00814B06" w:rsidRPr="00791D1E" w:rsidRDefault="00814B06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91D1E">
              <w:rPr>
                <w:rFonts w:eastAsia="Times New Roman" w:cstheme="minorHAnsi"/>
                <w:sz w:val="24"/>
                <w:szCs w:val="24"/>
                <w:lang w:eastAsia="en-GB"/>
              </w:rPr>
              <w:t>T</w:t>
            </w:r>
          </w:p>
        </w:tc>
      </w:tr>
      <w:tr w:rsidR="00814B06" w:rsidRPr="00791D1E" w14:paraId="5823EBCA" w14:textId="77777777" w:rsidTr="00A1032F">
        <w:trPr>
          <w:gridAfter w:val="1"/>
          <w:wAfter w:w="28" w:type="dxa"/>
        </w:trPr>
        <w:tc>
          <w:tcPr>
            <w:tcW w:w="4644" w:type="dxa"/>
            <w:shd w:val="clear" w:color="auto" w:fill="D9D9D9" w:themeFill="background1" w:themeFillShade="D9"/>
          </w:tcPr>
          <w:p w14:paraId="062EC7BE" w14:textId="77777777" w:rsidR="00814B06" w:rsidRPr="00791D1E" w:rsidRDefault="00814B06" w:rsidP="00F713B9">
            <w:pPr>
              <w:spacing w:after="0"/>
              <w:jc w:val="both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791D1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Qualifications/Training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4BB16B6F" w14:textId="77777777" w:rsidR="00814B06" w:rsidRPr="00791D1E" w:rsidRDefault="00814B06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14:paraId="70736FFE" w14:textId="77777777" w:rsidR="00814B06" w:rsidRPr="00791D1E" w:rsidRDefault="00814B06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179C47FB" w14:textId="77777777" w:rsidR="00814B06" w:rsidRPr="00791D1E" w:rsidRDefault="00814B06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14:paraId="61822074" w14:textId="77777777" w:rsidR="00814B06" w:rsidRPr="00791D1E" w:rsidRDefault="00814B06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3507C" w:rsidRPr="00791D1E" w14:paraId="17D73E64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75198291" w14:textId="51CF5EFB" w:rsidR="0003507C" w:rsidRPr="00791D1E" w:rsidRDefault="004F3869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Educated to degree level</w:t>
            </w:r>
            <w:r w:rsidR="00BB2C9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in a relevant field,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or equivalent experience</w:t>
            </w:r>
          </w:p>
        </w:tc>
        <w:tc>
          <w:tcPr>
            <w:tcW w:w="1701" w:type="dxa"/>
            <w:gridSpan w:val="2"/>
          </w:tcPr>
          <w:p w14:paraId="6EB2DAE0" w14:textId="77777777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91D1E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5E83BA49" w14:textId="761E1F75" w:rsidR="0003507C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7E8E668C" w14:textId="69EB4F33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6" w:type="dxa"/>
            <w:gridSpan w:val="2"/>
          </w:tcPr>
          <w:p w14:paraId="3800F582" w14:textId="77777777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3507C" w:rsidRPr="00791D1E" w14:paraId="2C6D5A84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5C55C7D7" w14:textId="4C344FA7" w:rsidR="0003507C" w:rsidRPr="00791D1E" w:rsidRDefault="0068248B" w:rsidP="008D3198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Proficient use of</w:t>
            </w:r>
            <w:r w:rsidR="00B0113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1E132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CRM systems, Google </w:t>
            </w:r>
            <w:r w:rsidR="00C14075">
              <w:rPr>
                <w:rFonts w:eastAsia="Times New Roman" w:cstheme="minorHAnsi"/>
                <w:sz w:val="24"/>
                <w:szCs w:val="24"/>
                <w:lang w:eastAsia="en-GB"/>
              </w:rPr>
              <w:t>A</w:t>
            </w:r>
            <w:r w:rsidR="001E132C">
              <w:rPr>
                <w:rFonts w:eastAsia="Times New Roman" w:cstheme="minorHAnsi"/>
                <w:sz w:val="24"/>
                <w:szCs w:val="24"/>
                <w:lang w:eastAsia="en-GB"/>
              </w:rPr>
              <w:t>nalytics</w:t>
            </w:r>
            <w:r w:rsidR="00265E85">
              <w:rPr>
                <w:rFonts w:eastAsia="Times New Roman" w:cstheme="minorHAnsi"/>
                <w:sz w:val="24"/>
                <w:szCs w:val="24"/>
                <w:lang w:eastAsia="en-GB"/>
              </w:rPr>
              <w:t>, social media tools</w:t>
            </w:r>
            <w:r w:rsidR="00C30BD5">
              <w:rPr>
                <w:rFonts w:eastAsia="Times New Roman" w:cstheme="minorHAnsi"/>
                <w:sz w:val="24"/>
                <w:szCs w:val="24"/>
                <w:lang w:eastAsia="en-GB"/>
              </w:rPr>
              <w:t>,</w:t>
            </w:r>
            <w:r w:rsidR="00E0383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MS software</w:t>
            </w:r>
            <w:r w:rsidR="00C30B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, Adobe </w:t>
            </w:r>
            <w:proofErr w:type="spellStart"/>
            <w:r w:rsidR="00C30BD5">
              <w:rPr>
                <w:rFonts w:eastAsia="Times New Roman" w:cstheme="minorHAnsi"/>
                <w:sz w:val="24"/>
                <w:szCs w:val="24"/>
                <w:lang w:eastAsia="en-GB"/>
              </w:rPr>
              <w:t>Indesign</w:t>
            </w:r>
            <w:proofErr w:type="spellEnd"/>
            <w:r w:rsidR="00C30BD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, </w:t>
            </w:r>
            <w:r w:rsidR="00853E2F">
              <w:rPr>
                <w:rFonts w:eastAsia="Times New Roman" w:cstheme="minorHAnsi"/>
                <w:sz w:val="24"/>
                <w:szCs w:val="24"/>
                <w:lang w:eastAsia="en-GB"/>
              </w:rPr>
              <w:t>Canva and Mail Chimp</w:t>
            </w:r>
          </w:p>
        </w:tc>
        <w:tc>
          <w:tcPr>
            <w:tcW w:w="1701" w:type="dxa"/>
            <w:gridSpan w:val="2"/>
          </w:tcPr>
          <w:p w14:paraId="61E068C8" w14:textId="77777777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91D1E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7920AD26" w14:textId="192C6E2D" w:rsidR="0003507C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759F8B9A" w14:textId="588B70F7" w:rsidR="0003507C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04BB9C71" w14:textId="2B00E89E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3507C" w:rsidRPr="00791D1E" w14:paraId="26B3277B" w14:textId="77777777" w:rsidTr="00A1032F">
        <w:trPr>
          <w:gridAfter w:val="1"/>
          <w:wAfter w:w="28" w:type="dxa"/>
        </w:trPr>
        <w:tc>
          <w:tcPr>
            <w:tcW w:w="4644" w:type="dxa"/>
            <w:shd w:val="clear" w:color="auto" w:fill="D9D9D9" w:themeFill="background1" w:themeFillShade="D9"/>
          </w:tcPr>
          <w:p w14:paraId="0D10328D" w14:textId="57AA8485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b/>
                <w:sz w:val="24"/>
                <w:szCs w:val="24"/>
                <w:lang w:eastAsia="en-GB"/>
              </w:rPr>
            </w:pPr>
            <w:r w:rsidRPr="00791D1E">
              <w:rPr>
                <w:rFonts w:eastAsia="Times New Roman" w:cstheme="minorHAnsi"/>
                <w:b/>
                <w:sz w:val="24"/>
                <w:szCs w:val="24"/>
                <w:lang w:eastAsia="en-GB"/>
              </w:rPr>
              <w:t>Knowledge, experience, skills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14:paraId="416FF1E3" w14:textId="77777777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1" w:type="dxa"/>
            <w:gridSpan w:val="2"/>
            <w:shd w:val="clear" w:color="auto" w:fill="D9D9D9" w:themeFill="background1" w:themeFillShade="D9"/>
          </w:tcPr>
          <w:p w14:paraId="7E9F60CF" w14:textId="77777777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992" w:type="dxa"/>
            <w:gridSpan w:val="2"/>
            <w:shd w:val="clear" w:color="auto" w:fill="D9D9D9" w:themeFill="background1" w:themeFillShade="D9"/>
          </w:tcPr>
          <w:p w14:paraId="4351F31D" w14:textId="79D2BDB6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  <w:tc>
          <w:tcPr>
            <w:tcW w:w="856" w:type="dxa"/>
            <w:gridSpan w:val="2"/>
            <w:shd w:val="clear" w:color="auto" w:fill="D9D9D9" w:themeFill="background1" w:themeFillShade="D9"/>
          </w:tcPr>
          <w:p w14:paraId="39E87A93" w14:textId="77777777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3507C" w:rsidRPr="00791D1E" w14:paraId="1871910E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41FE5780" w14:textId="17B00CD2" w:rsidR="0003507C" w:rsidRPr="009E6B02" w:rsidRDefault="009E6B02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9E6B02">
              <w:rPr>
                <w:rFonts w:eastAsia="Times New Roman" w:cstheme="minorHAnsi"/>
                <w:sz w:val="24"/>
                <w:szCs w:val="24"/>
                <w:lang w:eastAsia="en-GB"/>
              </w:rPr>
              <w:t>Proven experience in digital fundraisin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g or income-generating digital roles</w:t>
            </w:r>
            <w:r w:rsidR="005A63CA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556F9DB8" w14:textId="77777777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91D1E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36027BFA" w14:textId="78798B8B" w:rsidR="0003507C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185B0163" w14:textId="034A538A" w:rsidR="0003507C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7650E517" w14:textId="77777777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5A63CA" w:rsidRPr="00791D1E" w14:paraId="270220C6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06983FAA" w14:textId="31411C5E" w:rsidR="005A63CA" w:rsidRPr="009E6B02" w:rsidRDefault="004175FE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Experience of delivering digital campaigns that drive income</w:t>
            </w:r>
            <w:r w:rsidR="003E0A6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conversion, including set up, monitoring and reporting </w:t>
            </w:r>
          </w:p>
        </w:tc>
        <w:tc>
          <w:tcPr>
            <w:tcW w:w="1701" w:type="dxa"/>
            <w:gridSpan w:val="2"/>
          </w:tcPr>
          <w:p w14:paraId="19CF0167" w14:textId="39BC60A4" w:rsidR="005A63CA" w:rsidRPr="00791D1E" w:rsidRDefault="00FA22A5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35757914" w14:textId="557379D9" w:rsidR="005A63CA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76B2B1A1" w14:textId="4A1653D3" w:rsidR="005A63CA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405564A0" w14:textId="77777777" w:rsidR="005A63CA" w:rsidRPr="00791D1E" w:rsidRDefault="005A63CA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C3D7E" w:rsidRPr="00791D1E" w14:paraId="1F09823D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759E9279" w14:textId="29EA1C70" w:rsidR="00AC3D7E" w:rsidRDefault="00AC3D7E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Experience creating and managing acquisition-focused content, aligned with campaign goals and audience targeting </w:t>
            </w:r>
          </w:p>
        </w:tc>
        <w:tc>
          <w:tcPr>
            <w:tcW w:w="1701" w:type="dxa"/>
            <w:gridSpan w:val="2"/>
          </w:tcPr>
          <w:p w14:paraId="5F66268A" w14:textId="0AD4396A" w:rsidR="00AC3D7E" w:rsidRPr="00791D1E" w:rsidRDefault="00FA22A5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6CE15C43" w14:textId="576D178D" w:rsidR="00AC3D7E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1C9D7845" w14:textId="0F2D67E6" w:rsidR="00AC3D7E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601BA157" w14:textId="77777777" w:rsidR="00AC3D7E" w:rsidRPr="00791D1E" w:rsidRDefault="00AC3D7E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115507" w:rsidRPr="00791D1E" w14:paraId="0000FA73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6C2373A0" w14:textId="64EC2BB8" w:rsidR="00115507" w:rsidRDefault="00115507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Demonstrable experience of delivering income targets and improving ROI through digital campaigns</w:t>
            </w:r>
          </w:p>
        </w:tc>
        <w:tc>
          <w:tcPr>
            <w:tcW w:w="1701" w:type="dxa"/>
            <w:gridSpan w:val="2"/>
          </w:tcPr>
          <w:p w14:paraId="2717AF0C" w14:textId="0AAB5614" w:rsidR="00115507" w:rsidRPr="00791D1E" w:rsidRDefault="00FA22A5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52A324D1" w14:textId="5BF796B4" w:rsidR="00115507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57C84E60" w14:textId="445D616A" w:rsidR="00115507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3A739AA8" w14:textId="77777777" w:rsidR="00115507" w:rsidRPr="00791D1E" w:rsidRDefault="00115507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F0403" w:rsidRPr="00791D1E" w14:paraId="6CA89A27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6423DF47" w14:textId="2732414C" w:rsidR="009F0403" w:rsidRDefault="009F0403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Strong understanding of campaign optimisation, including A/B testing</w:t>
            </w:r>
            <w:r w:rsidR="00A73C2D">
              <w:rPr>
                <w:rFonts w:eastAsia="Times New Roman" w:cstheme="minorHAnsi"/>
                <w:sz w:val="24"/>
                <w:szCs w:val="24"/>
                <w:lang w:eastAsia="en-GB"/>
              </w:rPr>
              <w:t>, performance analysis and content iteration</w:t>
            </w:r>
            <w:r w:rsidR="004125D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4F398906" w14:textId="6A11E414" w:rsidR="009F0403" w:rsidRPr="00791D1E" w:rsidRDefault="00FA22A5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6D4A8A09" w14:textId="4D6EFA2C" w:rsidR="009F0403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5F9E79D2" w14:textId="35803B95" w:rsidR="009F0403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5DB4658C" w14:textId="77777777" w:rsidR="009F0403" w:rsidRPr="00791D1E" w:rsidRDefault="009F0403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D63641" w:rsidRPr="00791D1E" w14:paraId="594C3253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45455BD6" w14:textId="28F0DE09" w:rsidR="00D63641" w:rsidRDefault="0089237D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Experience of working with CRMs, digital campaigns and performance reporting</w:t>
            </w:r>
          </w:p>
        </w:tc>
        <w:tc>
          <w:tcPr>
            <w:tcW w:w="1701" w:type="dxa"/>
            <w:gridSpan w:val="2"/>
          </w:tcPr>
          <w:p w14:paraId="10E0F171" w14:textId="4B67B08D" w:rsidR="00D63641" w:rsidRPr="00791D1E" w:rsidRDefault="00FA22A5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209B4795" w14:textId="137A958E" w:rsidR="00D63641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0015D635" w14:textId="60C81491" w:rsidR="00D63641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60C74FC5" w14:textId="77777777" w:rsidR="00D63641" w:rsidRPr="00791D1E" w:rsidRDefault="00D6364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4541C6" w:rsidRPr="00791D1E" w14:paraId="7279B778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5AEFD02E" w14:textId="2A6AD0C4" w:rsidR="004541C6" w:rsidRDefault="004541C6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Strong analytical capability with confidence in using data to drive decisions</w:t>
            </w:r>
            <w:r w:rsidR="00DA68C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ability to interpret performance data, track KPIs and translate insights into actionable</w:t>
            </w:r>
            <w:r w:rsidR="001B16DB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improvements </w:t>
            </w:r>
          </w:p>
        </w:tc>
        <w:tc>
          <w:tcPr>
            <w:tcW w:w="1701" w:type="dxa"/>
            <w:gridSpan w:val="2"/>
          </w:tcPr>
          <w:p w14:paraId="3D124B07" w14:textId="63ECF088" w:rsidR="004541C6" w:rsidRPr="00791D1E" w:rsidRDefault="00FA22A5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01D52EFA" w14:textId="76C9F06A" w:rsidR="004541C6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6A77E1B8" w14:textId="3C19085F" w:rsidR="004541C6" w:rsidRPr="00791D1E" w:rsidRDefault="00E04BF1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141B32D4" w14:textId="77777777" w:rsidR="004541C6" w:rsidRPr="00791D1E" w:rsidRDefault="004541C6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8D3198" w:rsidRPr="00791D1E" w14:paraId="270B2A96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1ED7E514" w14:textId="5FA12222" w:rsidR="008D3198" w:rsidRPr="00791D1E" w:rsidRDefault="00C677E6" w:rsidP="008D3198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Familiarity with testing and optimisation principles (e.g. A/B testing, iterative improvements) </w:t>
            </w:r>
          </w:p>
        </w:tc>
        <w:tc>
          <w:tcPr>
            <w:tcW w:w="1701" w:type="dxa"/>
            <w:gridSpan w:val="2"/>
          </w:tcPr>
          <w:p w14:paraId="5B7C048F" w14:textId="13D46D0C" w:rsidR="008D3198" w:rsidRPr="00791D1E" w:rsidRDefault="00FA22A5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3FC7C90D" w14:textId="2762F3B6" w:rsidR="008D3198" w:rsidRPr="00791D1E" w:rsidRDefault="00E04BF1" w:rsidP="00F713B9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6E78CF29" w14:textId="1A2C66BC" w:rsidR="008D3198" w:rsidRPr="00791D1E" w:rsidRDefault="00E04BF1" w:rsidP="00F713B9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2BB05720" w14:textId="5CE8CCD7" w:rsidR="008D3198" w:rsidRPr="00791D1E" w:rsidRDefault="008D319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A5BCC" w:rsidRPr="00791D1E" w14:paraId="6E953A4B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28209B43" w14:textId="65B2E922" w:rsidR="002A5BCC" w:rsidRDefault="002A5BCC" w:rsidP="008D3198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Understanding of strategies to build and engage supporters and stakeholders </w:t>
            </w:r>
          </w:p>
        </w:tc>
        <w:tc>
          <w:tcPr>
            <w:tcW w:w="1701" w:type="dxa"/>
            <w:gridSpan w:val="2"/>
          </w:tcPr>
          <w:p w14:paraId="05F1168F" w14:textId="57681E74" w:rsidR="002A5BCC" w:rsidRPr="00791D1E" w:rsidRDefault="00FA22A5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0CFB2ECA" w14:textId="346DF711" w:rsidR="002A5BCC" w:rsidRPr="00791D1E" w:rsidRDefault="00E04BF1" w:rsidP="00F713B9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1B3EAFC3" w14:textId="38C35622" w:rsidR="002A5BCC" w:rsidRPr="00791D1E" w:rsidRDefault="008A6328" w:rsidP="00F713B9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4EE97E0B" w14:textId="77777777" w:rsidR="002A5BCC" w:rsidRPr="00791D1E" w:rsidRDefault="002A5BC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2E1625" w:rsidRPr="00791D1E" w14:paraId="19CBBF7F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7ED043AE" w14:textId="7B787600" w:rsidR="002E1625" w:rsidRDefault="00B44613" w:rsidP="008D3198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Experience of website managemen</w:t>
            </w:r>
            <w:r w:rsidR="00234891">
              <w:rPr>
                <w:rFonts w:eastAsia="Times New Roman" w:cstheme="minorHAnsi"/>
                <w:sz w:val="24"/>
                <w:szCs w:val="24"/>
                <w:lang w:eastAsia="en-GB"/>
              </w:rPr>
              <w:t>t</w:t>
            </w:r>
          </w:p>
        </w:tc>
        <w:tc>
          <w:tcPr>
            <w:tcW w:w="1701" w:type="dxa"/>
            <w:gridSpan w:val="2"/>
          </w:tcPr>
          <w:p w14:paraId="16C16386" w14:textId="506531B7" w:rsidR="002E1625" w:rsidRPr="00791D1E" w:rsidRDefault="00FA22A5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1413C228" w14:textId="38CC31C4" w:rsidR="002E1625" w:rsidRPr="00791D1E" w:rsidRDefault="008A6328" w:rsidP="00F713B9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550C2E07" w14:textId="0C9DF6C3" w:rsidR="002E1625" w:rsidRPr="00791D1E" w:rsidRDefault="008A6328" w:rsidP="00F713B9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4F4EB6E8" w14:textId="77777777" w:rsidR="002E1625" w:rsidRPr="00791D1E" w:rsidRDefault="002E1625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601A0F" w:rsidRPr="00791D1E" w14:paraId="37868AC7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3CFEA420" w14:textId="29E09EB4" w:rsidR="00601A0F" w:rsidRDefault="00601A0F" w:rsidP="008D3198">
            <w:pPr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lastRenderedPageBreak/>
              <w:t xml:space="preserve">Strong copywriting skills and ability to create SEO-driven content to improve search rankings </w:t>
            </w:r>
          </w:p>
        </w:tc>
        <w:tc>
          <w:tcPr>
            <w:tcW w:w="1701" w:type="dxa"/>
            <w:gridSpan w:val="2"/>
          </w:tcPr>
          <w:p w14:paraId="0FEB2935" w14:textId="553110B2" w:rsidR="00601A0F" w:rsidRPr="00791D1E" w:rsidRDefault="00FA22A5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4B9897F7" w14:textId="2310400D" w:rsidR="00601A0F" w:rsidRPr="00791D1E" w:rsidRDefault="008A6328" w:rsidP="00F713B9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380AC409" w14:textId="417608D1" w:rsidR="00601A0F" w:rsidRPr="00791D1E" w:rsidRDefault="008A6328" w:rsidP="00F713B9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100F56ED" w14:textId="77777777" w:rsidR="00601A0F" w:rsidRPr="00791D1E" w:rsidRDefault="00601A0F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3507C" w:rsidRPr="00791D1E" w14:paraId="1015CB10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57D67690" w14:textId="7496CAD2" w:rsidR="0003507C" w:rsidRPr="00791D1E" w:rsidRDefault="00445793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Calibri" w:cstheme="minorHAnsi"/>
                <w:sz w:val="24"/>
                <w:szCs w:val="24"/>
              </w:rPr>
              <w:t>Experience of developing, testing or scaling new fundraising or digital income approaches</w:t>
            </w:r>
          </w:p>
        </w:tc>
        <w:tc>
          <w:tcPr>
            <w:tcW w:w="1701" w:type="dxa"/>
            <w:gridSpan w:val="2"/>
          </w:tcPr>
          <w:p w14:paraId="598F6028" w14:textId="26CC0F0A" w:rsidR="0003507C" w:rsidRPr="00791D1E" w:rsidRDefault="00445793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851" w:type="dxa"/>
            <w:gridSpan w:val="2"/>
          </w:tcPr>
          <w:p w14:paraId="6C68C34F" w14:textId="683D0873" w:rsidR="0003507C" w:rsidRPr="00791D1E" w:rsidRDefault="008A632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0A19934E" w14:textId="087A0B68" w:rsidR="0003507C" w:rsidRPr="00791D1E" w:rsidRDefault="008A632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1234D681" w14:textId="77777777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3507C" w:rsidRPr="00791D1E" w14:paraId="1868607A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2F1BE122" w14:textId="565ABDE2" w:rsidR="0003507C" w:rsidRPr="00791D1E" w:rsidRDefault="00445793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Experience in a charity or purpose-driven organisation</w:t>
            </w:r>
          </w:p>
        </w:tc>
        <w:tc>
          <w:tcPr>
            <w:tcW w:w="1701" w:type="dxa"/>
            <w:gridSpan w:val="2"/>
          </w:tcPr>
          <w:p w14:paraId="5B98914B" w14:textId="72337518" w:rsidR="0003507C" w:rsidRPr="00791D1E" w:rsidRDefault="00445793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851" w:type="dxa"/>
            <w:gridSpan w:val="2"/>
          </w:tcPr>
          <w:p w14:paraId="070AD014" w14:textId="4D145046" w:rsidR="0003507C" w:rsidRPr="00791D1E" w:rsidRDefault="008A632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44DD3CF9" w14:textId="1F586FD0" w:rsidR="0003507C" w:rsidRPr="00791D1E" w:rsidRDefault="008A632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7678EEA6" w14:textId="6A072CF8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3507C" w:rsidRPr="00791D1E" w14:paraId="563D4FA1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7749D9B2" w14:textId="19AAFDEE" w:rsidR="008E19E5" w:rsidRPr="00791D1E" w:rsidRDefault="00445793" w:rsidP="0097709B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Experience managing paid digital activity and external suppliers</w:t>
            </w:r>
          </w:p>
        </w:tc>
        <w:tc>
          <w:tcPr>
            <w:tcW w:w="1701" w:type="dxa"/>
            <w:gridSpan w:val="2"/>
          </w:tcPr>
          <w:p w14:paraId="67317666" w14:textId="534BF59A" w:rsidR="0003507C" w:rsidRPr="00791D1E" w:rsidRDefault="00086487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851" w:type="dxa"/>
            <w:gridSpan w:val="2"/>
          </w:tcPr>
          <w:p w14:paraId="6F982741" w14:textId="1EC644FF" w:rsidR="0003507C" w:rsidRPr="00791D1E" w:rsidRDefault="008A632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3B26E0A6" w14:textId="3751BA96" w:rsidR="0003507C" w:rsidRPr="00791D1E" w:rsidRDefault="008A632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5789DBC2" w14:textId="77777777" w:rsidR="0003507C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  <w:p w14:paraId="5D8519D8" w14:textId="77777777" w:rsidR="00445793" w:rsidRPr="00791D1E" w:rsidRDefault="00445793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86487" w:rsidRPr="00791D1E" w14:paraId="3A60F1AB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43001A93" w14:textId="7CF19A32" w:rsidR="00086487" w:rsidRDefault="00086487" w:rsidP="0097709B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Understanding of supporter lifecycle and relationship fundraising</w:t>
            </w:r>
          </w:p>
        </w:tc>
        <w:tc>
          <w:tcPr>
            <w:tcW w:w="1701" w:type="dxa"/>
            <w:gridSpan w:val="2"/>
          </w:tcPr>
          <w:p w14:paraId="76085257" w14:textId="166D06EA" w:rsidR="00086487" w:rsidRDefault="00341E96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D</w:t>
            </w:r>
          </w:p>
        </w:tc>
        <w:tc>
          <w:tcPr>
            <w:tcW w:w="851" w:type="dxa"/>
            <w:gridSpan w:val="2"/>
          </w:tcPr>
          <w:p w14:paraId="384BC4BF" w14:textId="556FDF10" w:rsidR="00086487" w:rsidRPr="00791D1E" w:rsidRDefault="008A632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4DC7B804" w14:textId="3FCD4918" w:rsidR="00086487" w:rsidRPr="00791D1E" w:rsidRDefault="008A632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01EB4920" w14:textId="77777777" w:rsidR="00086487" w:rsidRDefault="00086487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97709B" w:rsidRPr="00791D1E" w14:paraId="68C72FD5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3433E4D0" w14:textId="3A0541AB" w:rsidR="0097709B" w:rsidRPr="00791D1E" w:rsidRDefault="00E26559" w:rsidP="0097709B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Excellent organisational skills and the ability to plan, prioritise and complete tasks on schedule</w:t>
            </w:r>
          </w:p>
        </w:tc>
        <w:tc>
          <w:tcPr>
            <w:tcW w:w="1701" w:type="dxa"/>
            <w:gridSpan w:val="2"/>
          </w:tcPr>
          <w:p w14:paraId="45DDCACA" w14:textId="377D1ED8" w:rsidR="0097709B" w:rsidRPr="00791D1E" w:rsidRDefault="0097709B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 w:rsidRPr="00791D1E"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68B98F4E" w14:textId="417A0738" w:rsidR="0097709B" w:rsidRPr="00791D1E" w:rsidRDefault="008A6328" w:rsidP="00F713B9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31BBA111" w14:textId="0173BF99" w:rsidR="0097709B" w:rsidRPr="00791D1E" w:rsidRDefault="008A6328" w:rsidP="00F713B9">
            <w:pPr>
              <w:spacing w:after="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061EDB14" w14:textId="77777777" w:rsidR="0097709B" w:rsidRPr="00791D1E" w:rsidRDefault="0097709B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3507C" w:rsidRPr="00791D1E" w14:paraId="64130DB3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3D38D681" w14:textId="409C29DC" w:rsidR="0003507C" w:rsidRPr="00791D1E" w:rsidRDefault="005A750F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Accuracy and attention to detail</w:t>
            </w:r>
            <w:r w:rsidR="00D5440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4889DEEA" w14:textId="06392C7D" w:rsidR="0003507C" w:rsidRPr="00791D1E" w:rsidRDefault="0060214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6C399EDB" w14:textId="5089F24D" w:rsidR="0003507C" w:rsidRPr="00791D1E" w:rsidRDefault="008A632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79902E51" w14:textId="572143C5" w:rsidR="0003507C" w:rsidRPr="00791D1E" w:rsidRDefault="008A632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2B4DD5E2" w14:textId="77777777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3507C" w:rsidRPr="00791D1E" w14:paraId="5900B09C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4A017A9F" w14:textId="5C6FAE2B" w:rsidR="008D3198" w:rsidRPr="00791D1E" w:rsidRDefault="001A72C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Excellent communication skills and the ability to work collaboratively</w:t>
            </w:r>
            <w:r w:rsidR="00D5440C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across </w:t>
            </w:r>
            <w:r w:rsidR="007B2B2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teams to deliver integrated campaigns and support Income Generation objectives </w:t>
            </w:r>
          </w:p>
        </w:tc>
        <w:tc>
          <w:tcPr>
            <w:tcW w:w="1701" w:type="dxa"/>
            <w:gridSpan w:val="2"/>
          </w:tcPr>
          <w:p w14:paraId="35CA037F" w14:textId="5A6C71EE" w:rsidR="0003507C" w:rsidRPr="00791D1E" w:rsidRDefault="0060214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21F501E5" w14:textId="3231D307" w:rsidR="0003507C" w:rsidRPr="00791D1E" w:rsidRDefault="008A632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4F56711A" w14:textId="3C79940D" w:rsidR="0003507C" w:rsidRPr="00791D1E" w:rsidRDefault="008A632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423DD427" w14:textId="77777777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03507C" w:rsidRPr="00791D1E" w14:paraId="79FA6351" w14:textId="77777777" w:rsidTr="00A1032F">
        <w:trPr>
          <w:gridAfter w:val="1"/>
          <w:wAfter w:w="28" w:type="dxa"/>
        </w:trPr>
        <w:tc>
          <w:tcPr>
            <w:tcW w:w="4644" w:type="dxa"/>
          </w:tcPr>
          <w:p w14:paraId="0A8445B7" w14:textId="4B4086DD" w:rsidR="008D3198" w:rsidRPr="00791D1E" w:rsidRDefault="0063324D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Creative and proactive, with a passion for digital </w:t>
            </w:r>
            <w:r w:rsidR="00184F94">
              <w:rPr>
                <w:rFonts w:eastAsia="Times New Roman" w:cstheme="minorHAnsi"/>
                <w:sz w:val="24"/>
                <w:szCs w:val="24"/>
                <w:lang w:eastAsia="en-GB"/>
              </w:rPr>
              <w:t>fundraising and a drive to innovate and improve</w:t>
            </w:r>
            <w:r w:rsidR="004125D6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701" w:type="dxa"/>
            <w:gridSpan w:val="2"/>
          </w:tcPr>
          <w:p w14:paraId="0F732652" w14:textId="0D5B8BFC" w:rsidR="0003507C" w:rsidRPr="00791D1E" w:rsidRDefault="0060214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E</w:t>
            </w:r>
          </w:p>
        </w:tc>
        <w:tc>
          <w:tcPr>
            <w:tcW w:w="851" w:type="dxa"/>
            <w:gridSpan w:val="2"/>
          </w:tcPr>
          <w:p w14:paraId="4F91CB0A" w14:textId="1F318EC4" w:rsidR="0003507C" w:rsidRPr="00791D1E" w:rsidRDefault="008A632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</w:tcPr>
          <w:p w14:paraId="272721C4" w14:textId="4B3EB916" w:rsidR="0003507C" w:rsidRPr="00791D1E" w:rsidRDefault="008A6328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856" w:type="dxa"/>
            <w:gridSpan w:val="2"/>
          </w:tcPr>
          <w:p w14:paraId="23471B98" w14:textId="77777777" w:rsidR="0003507C" w:rsidRPr="00791D1E" w:rsidRDefault="0003507C" w:rsidP="00F713B9">
            <w:pPr>
              <w:spacing w:after="0"/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A1032F" w:rsidRPr="00791D1E" w14:paraId="0B9E4C3B" w14:textId="77777777" w:rsidTr="00A1032F">
        <w:tblPrEx>
          <w:tblLook w:val="04A0" w:firstRow="1" w:lastRow="0" w:firstColumn="1" w:lastColumn="0" w:noHBand="0" w:noVBand="1"/>
        </w:tblPrEx>
        <w:trPr>
          <w:cantSplit/>
        </w:trPr>
        <w:tc>
          <w:tcPr>
            <w:tcW w:w="907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14:paraId="3A272AB6" w14:textId="77777777" w:rsidR="00A1032F" w:rsidRPr="00791D1E" w:rsidRDefault="00A1032F" w:rsidP="00F713B9">
            <w:pPr>
              <w:spacing w:before="20" w:after="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1D1E">
              <w:rPr>
                <w:rFonts w:eastAsia="Calibri" w:cstheme="minorHAnsi"/>
                <w:b/>
                <w:sz w:val="24"/>
                <w:szCs w:val="24"/>
              </w:rPr>
              <w:t>Personal Qualities</w:t>
            </w:r>
          </w:p>
        </w:tc>
      </w:tr>
      <w:tr w:rsidR="00A1032F" w:rsidRPr="00791D1E" w14:paraId="7D5E0A5C" w14:textId="77777777" w:rsidTr="00AA0AD8">
        <w:tblPrEx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3991" w14:textId="7934D099" w:rsidR="00A1032F" w:rsidRPr="00791D1E" w:rsidRDefault="00A1032F" w:rsidP="00F713B9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791D1E">
              <w:rPr>
                <w:rFonts w:eastAsia="Calibri" w:cstheme="minorHAnsi"/>
                <w:sz w:val="24"/>
                <w:szCs w:val="24"/>
              </w:rPr>
              <w:t>Empathy with the work of The Shakespeare Hospice and understanding of equality and diversity and how this affects the hospice, supporters, and staff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04A1D" w14:textId="77777777" w:rsidR="00A1032F" w:rsidRPr="00791D1E" w:rsidRDefault="00A1032F" w:rsidP="00F713B9">
            <w:pPr>
              <w:tabs>
                <w:tab w:val="left" w:pos="720"/>
                <w:tab w:val="center" w:pos="4153"/>
                <w:tab w:val="right" w:pos="8306"/>
              </w:tabs>
              <w:spacing w:before="60" w:after="60"/>
              <w:jc w:val="both"/>
              <w:rPr>
                <w:rFonts w:eastAsia="Times New Roman" w:cstheme="minorHAnsi"/>
                <w:sz w:val="24"/>
                <w:szCs w:val="24"/>
              </w:rPr>
            </w:pPr>
            <w:r w:rsidRPr="00791D1E">
              <w:rPr>
                <w:rFonts w:cstheme="minorHAnsi"/>
                <w:sz w:val="24"/>
                <w:szCs w:val="24"/>
              </w:rPr>
              <w:t>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1D96" w14:textId="404F7090" w:rsidR="00A1032F" w:rsidRPr="00791D1E" w:rsidRDefault="008A6328" w:rsidP="00F713B9">
            <w:pPr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408A3" w14:textId="429E098C" w:rsidR="00A1032F" w:rsidRPr="00791D1E" w:rsidRDefault="008A6328" w:rsidP="00F713B9">
            <w:pPr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4CE0" w14:textId="77777777" w:rsidR="00A1032F" w:rsidRPr="00791D1E" w:rsidRDefault="00A1032F" w:rsidP="00F713B9">
            <w:pPr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1032F" w:rsidRPr="00791D1E" w14:paraId="6C3850C3" w14:textId="77777777" w:rsidTr="00AA0AD8">
        <w:tblPrEx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638E" w14:textId="3C1C32B7" w:rsidR="00A1032F" w:rsidRPr="00791D1E" w:rsidRDefault="00A1032F" w:rsidP="00F713B9">
            <w:pPr>
              <w:jc w:val="both"/>
              <w:rPr>
                <w:rFonts w:eastAsia="Calibri" w:cstheme="minorHAnsi"/>
                <w:sz w:val="24"/>
                <w:szCs w:val="24"/>
              </w:rPr>
            </w:pPr>
            <w:r w:rsidRPr="00791D1E">
              <w:rPr>
                <w:rFonts w:eastAsia="Calibri" w:cstheme="minorHAnsi"/>
                <w:sz w:val="24"/>
                <w:szCs w:val="24"/>
              </w:rPr>
              <w:t xml:space="preserve">Work flexibly to </w:t>
            </w:r>
            <w:r w:rsidR="00857CD9">
              <w:rPr>
                <w:rFonts w:eastAsia="Calibri" w:cstheme="minorHAnsi"/>
                <w:sz w:val="24"/>
                <w:szCs w:val="24"/>
              </w:rPr>
              <w:t>work as the role requires</w:t>
            </w:r>
            <w:r w:rsidRPr="00791D1E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F3066" w14:textId="77777777" w:rsidR="00A1032F" w:rsidRPr="00791D1E" w:rsidRDefault="00A1032F" w:rsidP="00F713B9">
            <w:pPr>
              <w:spacing w:before="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1D1E">
              <w:rPr>
                <w:rFonts w:eastAsia="Calibri" w:cstheme="minorHAnsi"/>
                <w:sz w:val="24"/>
                <w:szCs w:val="24"/>
              </w:rPr>
              <w:t>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B5E3" w14:textId="43E11368" w:rsidR="00A1032F" w:rsidRPr="00791D1E" w:rsidRDefault="008A6328" w:rsidP="00F713B9">
            <w:pPr>
              <w:spacing w:before="6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9077" w14:textId="2CB24490" w:rsidR="00A1032F" w:rsidRPr="00791D1E" w:rsidRDefault="008A6328" w:rsidP="00F713B9">
            <w:pPr>
              <w:spacing w:before="6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1E9D" w14:textId="77777777" w:rsidR="00A1032F" w:rsidRPr="00791D1E" w:rsidRDefault="00A1032F" w:rsidP="00F713B9">
            <w:pPr>
              <w:spacing w:before="6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1032F" w:rsidRPr="00791D1E" w14:paraId="6B91D66F" w14:textId="77777777" w:rsidTr="00AA0AD8">
        <w:tblPrEx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400D" w14:textId="62CA38CE" w:rsidR="00A1032F" w:rsidRPr="00791D1E" w:rsidRDefault="00602148" w:rsidP="00F713B9">
            <w:pPr>
              <w:tabs>
                <w:tab w:val="left" w:pos="720"/>
                <w:tab w:val="center" w:pos="4153"/>
                <w:tab w:val="right" w:pos="8306"/>
              </w:tabs>
              <w:spacing w:before="20" w:after="20"/>
              <w:jc w:val="both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Goal oriented and a “completer finisher” in work style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0C42" w14:textId="77777777" w:rsidR="00A1032F" w:rsidRPr="00791D1E" w:rsidRDefault="00A1032F" w:rsidP="00F713B9">
            <w:pPr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1D1E">
              <w:rPr>
                <w:rFonts w:eastAsia="Calibri" w:cstheme="minorHAnsi"/>
                <w:sz w:val="24"/>
                <w:szCs w:val="24"/>
              </w:rPr>
              <w:t>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4280" w14:textId="4DFD229A" w:rsidR="00A1032F" w:rsidRPr="00791D1E" w:rsidRDefault="008A6328" w:rsidP="00F713B9">
            <w:pPr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1286" w14:textId="03254311" w:rsidR="00A1032F" w:rsidRPr="00791D1E" w:rsidRDefault="008A6328" w:rsidP="00F713B9">
            <w:pPr>
              <w:spacing w:before="60" w:after="60"/>
              <w:jc w:val="both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F796B" w14:textId="77777777" w:rsidR="00A1032F" w:rsidRPr="00791D1E" w:rsidRDefault="00A1032F" w:rsidP="00F713B9">
            <w:pPr>
              <w:spacing w:before="6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  <w:tr w:rsidR="00A1032F" w:rsidRPr="00791D1E" w14:paraId="5062B716" w14:textId="77777777" w:rsidTr="00AA0AD8">
        <w:tblPrEx>
          <w:tblLook w:val="04A0" w:firstRow="1" w:lastRow="0" w:firstColumn="1" w:lastColumn="0" w:noHBand="0" w:noVBand="1"/>
        </w:tblPrEx>
        <w:trPr>
          <w:cantSplit/>
          <w:trHeight w:val="454"/>
        </w:trPr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1A4F" w14:textId="590A9669" w:rsidR="00A1032F" w:rsidRPr="00791D1E" w:rsidRDefault="00A1032F" w:rsidP="00F713B9">
            <w:pPr>
              <w:spacing w:before="2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1D1E">
              <w:rPr>
                <w:rFonts w:eastAsia="Calibri" w:cstheme="minorHAnsi"/>
                <w:sz w:val="24"/>
                <w:szCs w:val="24"/>
              </w:rPr>
              <w:t xml:space="preserve">Access to </w:t>
            </w:r>
            <w:r w:rsidR="00602148">
              <w:rPr>
                <w:rFonts w:eastAsia="Calibri" w:cstheme="minorHAnsi"/>
                <w:sz w:val="24"/>
                <w:szCs w:val="24"/>
              </w:rPr>
              <w:t>own independent transport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73591" w14:textId="77777777" w:rsidR="00A1032F" w:rsidRPr="00791D1E" w:rsidRDefault="00A1032F" w:rsidP="00F713B9">
            <w:pPr>
              <w:spacing w:before="60"/>
              <w:jc w:val="both"/>
              <w:rPr>
                <w:rFonts w:eastAsia="Calibri" w:cstheme="minorHAnsi"/>
                <w:sz w:val="24"/>
                <w:szCs w:val="24"/>
              </w:rPr>
            </w:pPr>
            <w:r w:rsidRPr="00791D1E">
              <w:rPr>
                <w:rFonts w:eastAsia="Calibri" w:cstheme="minorHAnsi"/>
                <w:sz w:val="24"/>
                <w:szCs w:val="24"/>
              </w:rPr>
              <w:t>E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F8F4" w14:textId="478AA3D7" w:rsidR="00A1032F" w:rsidRPr="00791D1E" w:rsidRDefault="008A6328" w:rsidP="00F713B9">
            <w:pPr>
              <w:jc w:val="both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sym w:font="Wingdings" w:char="F0FC"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9D74" w14:textId="2CBC3F95" w:rsidR="00A1032F" w:rsidRPr="00791D1E" w:rsidRDefault="008A6328" w:rsidP="00F713B9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sym w:font="Wingdings" w:char="F0FC"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4BCB" w14:textId="77777777" w:rsidR="00A1032F" w:rsidRPr="00791D1E" w:rsidRDefault="00A1032F" w:rsidP="00F713B9">
            <w:pPr>
              <w:spacing w:before="60"/>
              <w:jc w:val="both"/>
              <w:rPr>
                <w:rFonts w:eastAsia="Calibri" w:cstheme="minorHAnsi"/>
                <w:sz w:val="24"/>
                <w:szCs w:val="24"/>
              </w:rPr>
            </w:pPr>
          </w:p>
        </w:tc>
      </w:tr>
    </w:tbl>
    <w:p w14:paraId="7616A912" w14:textId="77777777" w:rsidR="001719F2" w:rsidRPr="00791D1E" w:rsidRDefault="001719F2" w:rsidP="00F713B9">
      <w:pPr>
        <w:tabs>
          <w:tab w:val="left" w:pos="3880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en-GB"/>
        </w:rPr>
      </w:pPr>
    </w:p>
    <w:p w14:paraId="5E610ED3" w14:textId="77777777" w:rsidR="005C0C0A" w:rsidRPr="00791D1E" w:rsidRDefault="00E46B55" w:rsidP="00F713B9">
      <w:pPr>
        <w:jc w:val="both"/>
        <w:rPr>
          <w:rFonts w:cstheme="minorHAnsi"/>
          <w:sz w:val="24"/>
          <w:szCs w:val="24"/>
        </w:rPr>
      </w:pPr>
      <w:r w:rsidRPr="00791D1E">
        <w:rPr>
          <w:rFonts w:cstheme="minorHAnsi"/>
          <w:sz w:val="24"/>
          <w:szCs w:val="24"/>
        </w:rPr>
        <w:t>Assessed – A= Application, I=Interview, T=Test</w:t>
      </w:r>
    </w:p>
    <w:p w14:paraId="5C2E3746" w14:textId="77777777" w:rsidR="008D3198" w:rsidRPr="00791D1E" w:rsidRDefault="008D3198" w:rsidP="00F713B9">
      <w:pPr>
        <w:jc w:val="both"/>
        <w:rPr>
          <w:rFonts w:cstheme="minorHAnsi"/>
          <w:sz w:val="24"/>
          <w:szCs w:val="24"/>
        </w:rPr>
      </w:pPr>
    </w:p>
    <w:p w14:paraId="3E866A16" w14:textId="77777777" w:rsidR="008D3198" w:rsidRPr="00791D1E" w:rsidRDefault="008D3198" w:rsidP="008D3198">
      <w:pPr>
        <w:rPr>
          <w:rFonts w:eastAsia="Times New Roman" w:cstheme="minorHAnsi"/>
          <w:color w:val="000000"/>
          <w:sz w:val="24"/>
          <w:szCs w:val="24"/>
        </w:rPr>
      </w:pPr>
    </w:p>
    <w:p w14:paraId="1D9E440F" w14:textId="77777777" w:rsidR="008D3198" w:rsidRPr="00791D1E" w:rsidRDefault="008D3198" w:rsidP="008D3198">
      <w:pPr>
        <w:rPr>
          <w:rFonts w:eastAsia="Times New Roman" w:cstheme="minorHAnsi"/>
          <w:color w:val="000000"/>
          <w:sz w:val="24"/>
          <w:szCs w:val="24"/>
        </w:rPr>
      </w:pPr>
    </w:p>
    <w:p w14:paraId="740B6D3D" w14:textId="77777777" w:rsidR="008D3198" w:rsidRPr="00791D1E" w:rsidRDefault="008D3198" w:rsidP="00F713B9">
      <w:pPr>
        <w:jc w:val="both"/>
        <w:rPr>
          <w:rFonts w:cstheme="minorHAnsi"/>
          <w:sz w:val="24"/>
          <w:szCs w:val="24"/>
        </w:rPr>
      </w:pPr>
    </w:p>
    <w:sectPr w:rsidR="008D3198" w:rsidRPr="00791D1E" w:rsidSect="00F36922">
      <w:footerReference w:type="default" r:id="rId12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43485" w14:textId="77777777" w:rsidR="00E71022" w:rsidRDefault="00E71022" w:rsidP="00AC7006">
      <w:pPr>
        <w:spacing w:after="0" w:line="240" w:lineRule="auto"/>
      </w:pPr>
      <w:r>
        <w:separator/>
      </w:r>
    </w:p>
  </w:endnote>
  <w:endnote w:type="continuationSeparator" w:id="0">
    <w:p w14:paraId="458D44F6" w14:textId="77777777" w:rsidR="00E71022" w:rsidRDefault="00E71022" w:rsidP="00AC7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A95B0" w14:textId="057EB372" w:rsidR="00AC7006" w:rsidRPr="00AC7006" w:rsidRDefault="00AC7006">
    <w:pPr>
      <w:pStyle w:val="Footer"/>
      <w:rPr>
        <w:sz w:val="16"/>
        <w:szCs w:val="16"/>
        <w:lang w:val="en-US"/>
      </w:rPr>
    </w:pPr>
    <w:r w:rsidRPr="00AC7006">
      <w:rPr>
        <w:sz w:val="16"/>
        <w:szCs w:val="16"/>
        <w:lang w:val="en-US"/>
      </w:rPr>
      <w:t xml:space="preserve">Digital and Campaigns </w:t>
    </w:r>
    <w:r w:rsidR="006F568B">
      <w:rPr>
        <w:sz w:val="16"/>
        <w:szCs w:val="16"/>
        <w:lang w:val="en-US"/>
      </w:rPr>
      <w:t xml:space="preserve">Income </w:t>
    </w:r>
    <w:r w:rsidRPr="00AC7006">
      <w:rPr>
        <w:sz w:val="16"/>
        <w:szCs w:val="16"/>
        <w:lang w:val="en-US"/>
      </w:rPr>
      <w:t xml:space="preserve">Lead JD/PS – </w:t>
    </w:r>
    <w:r w:rsidR="006F568B">
      <w:rPr>
        <w:sz w:val="16"/>
        <w:szCs w:val="16"/>
        <w:lang w:val="en-US"/>
      </w:rPr>
      <w:t>March</w:t>
    </w:r>
    <w:r w:rsidR="00392B8A">
      <w:rPr>
        <w:sz w:val="16"/>
        <w:szCs w:val="16"/>
        <w:lang w:val="en-US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27EEA" w14:textId="77777777" w:rsidR="00E71022" w:rsidRDefault="00E71022" w:rsidP="00AC7006">
      <w:pPr>
        <w:spacing w:after="0" w:line="240" w:lineRule="auto"/>
      </w:pPr>
      <w:r>
        <w:separator/>
      </w:r>
    </w:p>
  </w:footnote>
  <w:footnote w:type="continuationSeparator" w:id="0">
    <w:p w14:paraId="4571F171" w14:textId="77777777" w:rsidR="00E71022" w:rsidRDefault="00E71022" w:rsidP="00AC7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51841"/>
    <w:multiLevelType w:val="hybridMultilevel"/>
    <w:tmpl w:val="381E23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E90A7C"/>
    <w:multiLevelType w:val="hybridMultilevel"/>
    <w:tmpl w:val="F6C6D2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B94479"/>
    <w:multiLevelType w:val="hybridMultilevel"/>
    <w:tmpl w:val="205E03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6D2359D"/>
    <w:multiLevelType w:val="multilevel"/>
    <w:tmpl w:val="081A0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E4D0C"/>
    <w:multiLevelType w:val="hybridMultilevel"/>
    <w:tmpl w:val="08BED6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1A7427D"/>
    <w:multiLevelType w:val="multilevel"/>
    <w:tmpl w:val="02BA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521197"/>
    <w:multiLevelType w:val="hybridMultilevel"/>
    <w:tmpl w:val="822EC35A"/>
    <w:lvl w:ilvl="0" w:tplc="08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323844A1"/>
    <w:multiLevelType w:val="hybridMultilevel"/>
    <w:tmpl w:val="B846F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F778E"/>
    <w:multiLevelType w:val="hybridMultilevel"/>
    <w:tmpl w:val="8F98452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BE5358"/>
    <w:multiLevelType w:val="multilevel"/>
    <w:tmpl w:val="4E7E97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38315F08"/>
    <w:multiLevelType w:val="multilevel"/>
    <w:tmpl w:val="0D0E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8E4634"/>
    <w:multiLevelType w:val="hybridMultilevel"/>
    <w:tmpl w:val="8A0EBE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4B0440B"/>
    <w:multiLevelType w:val="multilevel"/>
    <w:tmpl w:val="1C08A8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4EC05FE3"/>
    <w:multiLevelType w:val="multilevel"/>
    <w:tmpl w:val="814EFC1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5E6E7455"/>
    <w:multiLevelType w:val="hybridMultilevel"/>
    <w:tmpl w:val="5CB87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F7AE0"/>
    <w:multiLevelType w:val="hybridMultilevel"/>
    <w:tmpl w:val="57804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17824"/>
    <w:multiLevelType w:val="hybridMultilevel"/>
    <w:tmpl w:val="82A0D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85B95"/>
    <w:multiLevelType w:val="hybridMultilevel"/>
    <w:tmpl w:val="343C572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1465BEA"/>
    <w:multiLevelType w:val="hybridMultilevel"/>
    <w:tmpl w:val="EA4615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5672E8"/>
    <w:multiLevelType w:val="hybridMultilevel"/>
    <w:tmpl w:val="ADDA06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8B5022"/>
    <w:multiLevelType w:val="hybridMultilevel"/>
    <w:tmpl w:val="DFDC93F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E6B1536"/>
    <w:multiLevelType w:val="hybridMultilevel"/>
    <w:tmpl w:val="C41CE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598685">
    <w:abstractNumId w:val="6"/>
  </w:num>
  <w:num w:numId="2" w16cid:durableId="1008288467">
    <w:abstractNumId w:val="15"/>
  </w:num>
  <w:num w:numId="3" w16cid:durableId="1966693164">
    <w:abstractNumId w:val="7"/>
  </w:num>
  <w:num w:numId="4" w16cid:durableId="1200822697">
    <w:abstractNumId w:val="10"/>
  </w:num>
  <w:num w:numId="5" w16cid:durableId="2100246933">
    <w:abstractNumId w:val="5"/>
  </w:num>
  <w:num w:numId="6" w16cid:durableId="1787507732">
    <w:abstractNumId w:val="3"/>
  </w:num>
  <w:num w:numId="7" w16cid:durableId="1943873640">
    <w:abstractNumId w:val="12"/>
  </w:num>
  <w:num w:numId="8" w16cid:durableId="1721401042">
    <w:abstractNumId w:val="13"/>
  </w:num>
  <w:num w:numId="9" w16cid:durableId="1486505240">
    <w:abstractNumId w:val="9"/>
  </w:num>
  <w:num w:numId="10" w16cid:durableId="612178135">
    <w:abstractNumId w:val="21"/>
  </w:num>
  <w:num w:numId="11" w16cid:durableId="2024285976">
    <w:abstractNumId w:val="8"/>
  </w:num>
  <w:num w:numId="12" w16cid:durableId="146870678">
    <w:abstractNumId w:val="16"/>
  </w:num>
  <w:num w:numId="13" w16cid:durableId="203561760">
    <w:abstractNumId w:val="14"/>
  </w:num>
  <w:num w:numId="14" w16cid:durableId="359475112">
    <w:abstractNumId w:val="0"/>
  </w:num>
  <w:num w:numId="15" w16cid:durableId="1956675204">
    <w:abstractNumId w:val="17"/>
  </w:num>
  <w:num w:numId="16" w16cid:durableId="1004698604">
    <w:abstractNumId w:val="18"/>
  </w:num>
  <w:num w:numId="17" w16cid:durableId="1394691557">
    <w:abstractNumId w:val="4"/>
  </w:num>
  <w:num w:numId="18" w16cid:durableId="1031146383">
    <w:abstractNumId w:val="1"/>
  </w:num>
  <w:num w:numId="19" w16cid:durableId="1970818336">
    <w:abstractNumId w:val="20"/>
  </w:num>
  <w:num w:numId="20" w16cid:durableId="2023579488">
    <w:abstractNumId w:val="11"/>
  </w:num>
  <w:num w:numId="21" w16cid:durableId="510029591">
    <w:abstractNumId w:val="19"/>
  </w:num>
  <w:num w:numId="22" w16cid:durableId="4579186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C0A"/>
    <w:rsid w:val="0003507C"/>
    <w:rsid w:val="00064537"/>
    <w:rsid w:val="00064FA1"/>
    <w:rsid w:val="000765F3"/>
    <w:rsid w:val="000766A6"/>
    <w:rsid w:val="000778F6"/>
    <w:rsid w:val="00086487"/>
    <w:rsid w:val="0009242D"/>
    <w:rsid w:val="000B1664"/>
    <w:rsid w:val="00115507"/>
    <w:rsid w:val="00123D56"/>
    <w:rsid w:val="00134A13"/>
    <w:rsid w:val="00154887"/>
    <w:rsid w:val="001719F2"/>
    <w:rsid w:val="0018361C"/>
    <w:rsid w:val="00184F94"/>
    <w:rsid w:val="001A2459"/>
    <w:rsid w:val="001A72CC"/>
    <w:rsid w:val="001B16DB"/>
    <w:rsid w:val="001C19E9"/>
    <w:rsid w:val="001C1F73"/>
    <w:rsid w:val="001E101A"/>
    <w:rsid w:val="001E132C"/>
    <w:rsid w:val="001E17B2"/>
    <w:rsid w:val="002103BA"/>
    <w:rsid w:val="00221914"/>
    <w:rsid w:val="00234891"/>
    <w:rsid w:val="0024101E"/>
    <w:rsid w:val="00250ACD"/>
    <w:rsid w:val="00265E85"/>
    <w:rsid w:val="00292496"/>
    <w:rsid w:val="002A420F"/>
    <w:rsid w:val="002A5BCC"/>
    <w:rsid w:val="002D0991"/>
    <w:rsid w:val="002D4D45"/>
    <w:rsid w:val="002E130A"/>
    <w:rsid w:val="002E1625"/>
    <w:rsid w:val="002E4FE2"/>
    <w:rsid w:val="00301A7E"/>
    <w:rsid w:val="00314D7D"/>
    <w:rsid w:val="00334CEF"/>
    <w:rsid w:val="00341E96"/>
    <w:rsid w:val="00342E9F"/>
    <w:rsid w:val="00344AAD"/>
    <w:rsid w:val="00392B8A"/>
    <w:rsid w:val="003B62FA"/>
    <w:rsid w:val="003C4217"/>
    <w:rsid w:val="003E0A66"/>
    <w:rsid w:val="003F4540"/>
    <w:rsid w:val="00412553"/>
    <w:rsid w:val="004125D6"/>
    <w:rsid w:val="004175FE"/>
    <w:rsid w:val="00421126"/>
    <w:rsid w:val="00436FC3"/>
    <w:rsid w:val="00437B4D"/>
    <w:rsid w:val="0044439E"/>
    <w:rsid w:val="0044516B"/>
    <w:rsid w:val="00445793"/>
    <w:rsid w:val="004541C6"/>
    <w:rsid w:val="00460C01"/>
    <w:rsid w:val="004A3F73"/>
    <w:rsid w:val="004A420C"/>
    <w:rsid w:val="004C358E"/>
    <w:rsid w:val="004C4764"/>
    <w:rsid w:val="004E267D"/>
    <w:rsid w:val="004F3869"/>
    <w:rsid w:val="004F793D"/>
    <w:rsid w:val="00503693"/>
    <w:rsid w:val="005312F3"/>
    <w:rsid w:val="005559C0"/>
    <w:rsid w:val="0058308A"/>
    <w:rsid w:val="005A63CA"/>
    <w:rsid w:val="005A750F"/>
    <w:rsid w:val="005B1399"/>
    <w:rsid w:val="005C0C0A"/>
    <w:rsid w:val="005C497C"/>
    <w:rsid w:val="005E59EF"/>
    <w:rsid w:val="005F34E8"/>
    <w:rsid w:val="005F6E39"/>
    <w:rsid w:val="00601A0F"/>
    <w:rsid w:val="00602148"/>
    <w:rsid w:val="0063324D"/>
    <w:rsid w:val="00655011"/>
    <w:rsid w:val="00661C27"/>
    <w:rsid w:val="00674B67"/>
    <w:rsid w:val="00676C2C"/>
    <w:rsid w:val="0068248B"/>
    <w:rsid w:val="00686B50"/>
    <w:rsid w:val="006A62AA"/>
    <w:rsid w:val="006F2890"/>
    <w:rsid w:val="006F568B"/>
    <w:rsid w:val="007055D8"/>
    <w:rsid w:val="0074227A"/>
    <w:rsid w:val="0076632E"/>
    <w:rsid w:val="00791D1E"/>
    <w:rsid w:val="007B2B25"/>
    <w:rsid w:val="007B2C8D"/>
    <w:rsid w:val="007B3F2F"/>
    <w:rsid w:val="007B6D92"/>
    <w:rsid w:val="007D55CE"/>
    <w:rsid w:val="007E11BA"/>
    <w:rsid w:val="007E5229"/>
    <w:rsid w:val="007F57E9"/>
    <w:rsid w:val="00810735"/>
    <w:rsid w:val="00812F66"/>
    <w:rsid w:val="00814B06"/>
    <w:rsid w:val="00844DB7"/>
    <w:rsid w:val="00853E2F"/>
    <w:rsid w:val="00857CD9"/>
    <w:rsid w:val="00860C94"/>
    <w:rsid w:val="00870BAD"/>
    <w:rsid w:val="00874A4C"/>
    <w:rsid w:val="0089237D"/>
    <w:rsid w:val="008A6328"/>
    <w:rsid w:val="008A6B22"/>
    <w:rsid w:val="008B7F3B"/>
    <w:rsid w:val="008D3198"/>
    <w:rsid w:val="008D69FA"/>
    <w:rsid w:val="008E19E5"/>
    <w:rsid w:val="00921D28"/>
    <w:rsid w:val="00931875"/>
    <w:rsid w:val="009334EE"/>
    <w:rsid w:val="00935007"/>
    <w:rsid w:val="009409D2"/>
    <w:rsid w:val="009634C5"/>
    <w:rsid w:val="00973FCD"/>
    <w:rsid w:val="00975D0F"/>
    <w:rsid w:val="0097709B"/>
    <w:rsid w:val="009A506D"/>
    <w:rsid w:val="009A7CE5"/>
    <w:rsid w:val="009D3D9B"/>
    <w:rsid w:val="009E6B02"/>
    <w:rsid w:val="009F0403"/>
    <w:rsid w:val="009F0947"/>
    <w:rsid w:val="00A1032F"/>
    <w:rsid w:val="00A24554"/>
    <w:rsid w:val="00A52365"/>
    <w:rsid w:val="00A64BCE"/>
    <w:rsid w:val="00A73C2D"/>
    <w:rsid w:val="00AA0AD8"/>
    <w:rsid w:val="00AB154C"/>
    <w:rsid w:val="00AB346A"/>
    <w:rsid w:val="00AC3D7E"/>
    <w:rsid w:val="00AC7006"/>
    <w:rsid w:val="00B00372"/>
    <w:rsid w:val="00B01134"/>
    <w:rsid w:val="00B25692"/>
    <w:rsid w:val="00B44613"/>
    <w:rsid w:val="00B70F04"/>
    <w:rsid w:val="00B85581"/>
    <w:rsid w:val="00B92F54"/>
    <w:rsid w:val="00BB03DB"/>
    <w:rsid w:val="00BB2C9A"/>
    <w:rsid w:val="00BD7584"/>
    <w:rsid w:val="00C14075"/>
    <w:rsid w:val="00C175B0"/>
    <w:rsid w:val="00C201AD"/>
    <w:rsid w:val="00C23B60"/>
    <w:rsid w:val="00C30BD5"/>
    <w:rsid w:val="00C4325F"/>
    <w:rsid w:val="00C677E6"/>
    <w:rsid w:val="00CA35DD"/>
    <w:rsid w:val="00CC0EF4"/>
    <w:rsid w:val="00D26A79"/>
    <w:rsid w:val="00D40D03"/>
    <w:rsid w:val="00D501BE"/>
    <w:rsid w:val="00D5440C"/>
    <w:rsid w:val="00D54854"/>
    <w:rsid w:val="00D55834"/>
    <w:rsid w:val="00D6190C"/>
    <w:rsid w:val="00D63641"/>
    <w:rsid w:val="00D9611E"/>
    <w:rsid w:val="00DA5E82"/>
    <w:rsid w:val="00DA68CB"/>
    <w:rsid w:val="00DC3544"/>
    <w:rsid w:val="00DD16AF"/>
    <w:rsid w:val="00DD5830"/>
    <w:rsid w:val="00DE337B"/>
    <w:rsid w:val="00E03835"/>
    <w:rsid w:val="00E04BF1"/>
    <w:rsid w:val="00E20E61"/>
    <w:rsid w:val="00E26559"/>
    <w:rsid w:val="00E2788B"/>
    <w:rsid w:val="00E46B55"/>
    <w:rsid w:val="00E51462"/>
    <w:rsid w:val="00E71022"/>
    <w:rsid w:val="00E86968"/>
    <w:rsid w:val="00E90C60"/>
    <w:rsid w:val="00E953F6"/>
    <w:rsid w:val="00ED2C93"/>
    <w:rsid w:val="00ED3DBE"/>
    <w:rsid w:val="00EF0F41"/>
    <w:rsid w:val="00F205F8"/>
    <w:rsid w:val="00F24C34"/>
    <w:rsid w:val="00F36922"/>
    <w:rsid w:val="00F42E24"/>
    <w:rsid w:val="00F472A8"/>
    <w:rsid w:val="00F533FD"/>
    <w:rsid w:val="00F56311"/>
    <w:rsid w:val="00F713B9"/>
    <w:rsid w:val="00F922B6"/>
    <w:rsid w:val="00FA22A5"/>
    <w:rsid w:val="00FB1C37"/>
    <w:rsid w:val="00FB2629"/>
    <w:rsid w:val="00FC6DF1"/>
    <w:rsid w:val="00FE6998"/>
    <w:rsid w:val="00FF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E3E10"/>
  <w15:docId w15:val="{86532BB2-E61A-4767-9063-4A615829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C358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5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7E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205F8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qFormat/>
    <w:rsid w:val="009A7C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SubtitleChar">
    <w:name w:val="Subtitle Char"/>
    <w:basedOn w:val="DefaultParagraphFont"/>
    <w:link w:val="Subtitle"/>
    <w:rsid w:val="009A7CE5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Default">
    <w:name w:val="Default"/>
    <w:rsid w:val="009A7C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1"/>
    <w:qFormat/>
    <w:rsid w:val="00E953F6"/>
    <w:pPr>
      <w:widowControl w:val="0"/>
      <w:autoSpaceDE w:val="0"/>
      <w:autoSpaceDN w:val="0"/>
      <w:spacing w:after="0" w:line="240" w:lineRule="auto"/>
      <w:ind w:hanging="360"/>
    </w:pPr>
    <w:rPr>
      <w:rFonts w:ascii="Arial" w:eastAsia="Arial" w:hAnsi="Arial" w:cs="Arial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53F6"/>
    <w:rPr>
      <w:rFonts w:ascii="Arial" w:eastAsia="Arial" w:hAnsi="Arial" w:cs="Arial"/>
      <w:lang w:val="en-US" w:bidi="en-US"/>
    </w:rPr>
  </w:style>
  <w:style w:type="paragraph" w:styleId="Title">
    <w:name w:val="Title"/>
    <w:basedOn w:val="Normal"/>
    <w:link w:val="TitleChar"/>
    <w:qFormat/>
    <w:rsid w:val="00F713B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F713B9"/>
    <w:rPr>
      <w:rFonts w:ascii="Times New Roman" w:eastAsia="Times New Roman" w:hAnsi="Times New Roman" w:cs="Times New Roman"/>
      <w:b/>
      <w:sz w:val="32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E13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13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13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13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130A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C7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006"/>
  </w:style>
  <w:style w:type="paragraph" w:styleId="Footer">
    <w:name w:val="footer"/>
    <w:basedOn w:val="Normal"/>
    <w:link w:val="FooterChar"/>
    <w:uiPriority w:val="99"/>
    <w:unhideWhenUsed/>
    <w:rsid w:val="00AC70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81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302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4430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59336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839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7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14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478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4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911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989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302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910087">
      <w:bodyDiv w:val="1"/>
      <w:marLeft w:val="75"/>
      <w:marRight w:val="75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7129">
          <w:marLeft w:val="0"/>
          <w:marRight w:val="0"/>
          <w:marTop w:val="0"/>
          <w:marBottom w:val="120"/>
          <w:divBdr>
            <w:top w:val="single" w:sz="6" w:space="0" w:color="D4D2D0"/>
            <w:left w:val="single" w:sz="6" w:space="0" w:color="D4D2D0"/>
            <w:bottom w:val="single" w:sz="6" w:space="0" w:color="D4D2D0"/>
            <w:right w:val="single" w:sz="6" w:space="0" w:color="D4D2D0"/>
          </w:divBdr>
          <w:divsChild>
            <w:div w:id="95016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82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54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07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e6d6f4-cd5e-4ef0-a995-b6ef1e8a2c43">
      <Terms xmlns="http://schemas.microsoft.com/office/infopath/2007/PartnerControls"/>
    </lcf76f155ced4ddcb4097134ff3c332f>
    <TaxCatchAll xmlns="7ebdae69-57a0-4cac-9b9e-5b8ff8abe99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4DBC604A75C459797232DF0472147" ma:contentTypeVersion="19" ma:contentTypeDescription="Create a new document." ma:contentTypeScope="" ma:versionID="228ba75dfec393d3e7a15b49b7ec46b3">
  <xsd:schema xmlns:xsd="http://www.w3.org/2001/XMLSchema" xmlns:xs="http://www.w3.org/2001/XMLSchema" xmlns:p="http://schemas.microsoft.com/office/2006/metadata/properties" xmlns:ns2="7ebdae69-57a0-4cac-9b9e-5b8ff8abe997" xmlns:ns3="2ee6d6f4-cd5e-4ef0-a995-b6ef1e8a2c43" targetNamespace="http://schemas.microsoft.com/office/2006/metadata/properties" ma:root="true" ma:fieldsID="744ae74ce59b97d430a8d08b15fb85ba" ns2:_="" ns3:_="">
    <xsd:import namespace="7ebdae69-57a0-4cac-9b9e-5b8ff8abe997"/>
    <xsd:import namespace="2ee6d6f4-cd5e-4ef0-a995-b6ef1e8a2c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dae69-57a0-4cac-9b9e-5b8ff8abe99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bf5d27-e5ff-4411-a4ae-43034f08f8f5}" ma:internalName="TaxCatchAll" ma:showField="CatchAllData" ma:web="7ebdae69-57a0-4cac-9b9e-5b8ff8abe9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e6d6f4-cd5e-4ef0-a995-b6ef1e8a2c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0e3a11a-a138-43ca-993f-c89ffd0ed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7D34CE-C59A-464B-9326-6B007C32DF0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CF06A-ACB2-4F7A-BE8C-4ABE599398AB}">
  <ds:schemaRefs>
    <ds:schemaRef ds:uri="http://schemas.microsoft.com/office/2006/metadata/properties"/>
    <ds:schemaRef ds:uri="http://schemas.microsoft.com/office/infopath/2007/PartnerControls"/>
    <ds:schemaRef ds:uri="2ee6d6f4-cd5e-4ef0-a995-b6ef1e8a2c43"/>
    <ds:schemaRef ds:uri="7ebdae69-57a0-4cac-9b9e-5b8ff8abe997"/>
  </ds:schemaRefs>
</ds:datastoreItem>
</file>

<file path=customXml/itemProps3.xml><?xml version="1.0" encoding="utf-8"?>
<ds:datastoreItem xmlns:ds="http://schemas.openxmlformats.org/officeDocument/2006/customXml" ds:itemID="{691C9917-A4AC-4827-85AC-C50639F8F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bdae69-57a0-4cac-9b9e-5b8ff8abe997"/>
    <ds:schemaRef ds:uri="2ee6d6f4-cd5e-4ef0-a995-b6ef1e8a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7B5DE0-B21D-49F6-887B-0418C0246D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1211</Words>
  <Characters>7496</Characters>
  <Application>Microsoft Office Word</Application>
  <DocSecurity>0</DocSecurity>
  <Lines>316</Lines>
  <Paragraphs>183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Shakespeare Hospice</Company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Vikki Calcutt</dc:creator>
  <cp:lastModifiedBy>Helen Kenyon</cp:lastModifiedBy>
  <cp:revision>21</cp:revision>
  <cp:lastPrinted>2026-03-17T09:01:00Z</cp:lastPrinted>
  <dcterms:created xsi:type="dcterms:W3CDTF">2026-02-17T10:42:00Z</dcterms:created>
  <dcterms:modified xsi:type="dcterms:W3CDTF">2026-03-17T09:01:00Z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0x0101005944DBC604A75C459797232DF0472147</vt:lpwstr>
  </property>
  <property fmtid="{D5CDD505-2E9C-101B-9397-08002B2CF9AE}" pid="3" name="MediaServiceImageTags">
    <vt:lpwstr/>
  </property>
</Properties>
</file>